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EBF" w:rsidRPr="00876943" w:rsidRDefault="00C96EBF" w:rsidP="00E137A6">
      <w:pPr>
        <w:jc w:val="both"/>
        <w:rPr>
          <w:sz w:val="24"/>
        </w:rPr>
      </w:pPr>
    </w:p>
    <w:p w:rsidR="00876943" w:rsidRDefault="00876943" w:rsidP="00E137A6">
      <w:pPr>
        <w:jc w:val="both"/>
        <w:rPr>
          <w:sz w:val="24"/>
        </w:rPr>
      </w:pPr>
    </w:p>
    <w:p w:rsidR="00876943" w:rsidRDefault="00876943" w:rsidP="00E137A6">
      <w:pPr>
        <w:jc w:val="both"/>
        <w:rPr>
          <w:sz w:val="24"/>
        </w:rPr>
      </w:pPr>
    </w:p>
    <w:p w:rsidR="00C96EBF" w:rsidRPr="00876943" w:rsidRDefault="00C96EBF" w:rsidP="00E137A6">
      <w:pPr>
        <w:jc w:val="both"/>
        <w:rPr>
          <w:sz w:val="24"/>
        </w:rPr>
      </w:pPr>
      <w:r w:rsidRPr="00876943">
        <w:rPr>
          <w:sz w:val="24"/>
        </w:rPr>
        <w:t>Syndicat Mixte du Littoral Normand</w:t>
      </w:r>
    </w:p>
    <w:p w:rsidR="00C96EBF" w:rsidRPr="00876943" w:rsidRDefault="00C96EBF" w:rsidP="00E137A6">
      <w:pPr>
        <w:jc w:val="both"/>
        <w:rPr>
          <w:sz w:val="24"/>
        </w:rPr>
      </w:pPr>
      <w:r w:rsidRPr="00876943">
        <w:rPr>
          <w:sz w:val="24"/>
        </w:rPr>
        <w:t xml:space="preserve">5 avenue de </w:t>
      </w:r>
      <w:proofErr w:type="spellStart"/>
      <w:r w:rsidRPr="00876943">
        <w:rPr>
          <w:sz w:val="24"/>
        </w:rPr>
        <w:t>Tsukuba</w:t>
      </w:r>
      <w:proofErr w:type="spellEnd"/>
    </w:p>
    <w:p w:rsidR="00C96EBF" w:rsidRPr="00876943" w:rsidRDefault="00C96EBF" w:rsidP="00E137A6">
      <w:pPr>
        <w:jc w:val="both"/>
        <w:rPr>
          <w:sz w:val="24"/>
        </w:rPr>
      </w:pPr>
      <w:r w:rsidRPr="00876943">
        <w:rPr>
          <w:sz w:val="24"/>
        </w:rPr>
        <w:t>14200 HEROUVILLE SAINT CLAIR</w:t>
      </w:r>
    </w:p>
    <w:p w:rsidR="00C96EBF" w:rsidRPr="00876943" w:rsidRDefault="00C96EBF" w:rsidP="00E137A6">
      <w:pPr>
        <w:jc w:val="both"/>
        <w:rPr>
          <w:sz w:val="24"/>
        </w:rPr>
      </w:pPr>
    </w:p>
    <w:p w:rsidR="00C96EBF" w:rsidRPr="00876943" w:rsidRDefault="00C96EBF" w:rsidP="00E137A6">
      <w:pPr>
        <w:jc w:val="both"/>
        <w:rPr>
          <w:sz w:val="24"/>
        </w:rPr>
      </w:pPr>
      <w:r w:rsidRPr="00876943">
        <w:rPr>
          <w:sz w:val="24"/>
        </w:rPr>
        <w:t>Marché à procédure adaptée :</w:t>
      </w:r>
    </w:p>
    <w:p w:rsidR="00C96EBF" w:rsidRPr="00876943" w:rsidRDefault="00C96EBF" w:rsidP="00876943">
      <w:pPr>
        <w:jc w:val="center"/>
        <w:rPr>
          <w:b/>
          <w:sz w:val="24"/>
        </w:rPr>
      </w:pPr>
      <w:r w:rsidRPr="00876943">
        <w:rPr>
          <w:b/>
          <w:sz w:val="24"/>
        </w:rPr>
        <w:t>Prestation d’étude hydrologique dans les Marais Arrière Littoraux Bessin situé</w:t>
      </w:r>
      <w:r w:rsidR="00462B4E">
        <w:rPr>
          <w:b/>
          <w:sz w:val="24"/>
        </w:rPr>
        <w:t xml:space="preserve">s sur les communes de </w:t>
      </w:r>
      <w:proofErr w:type="spellStart"/>
      <w:r w:rsidR="00462B4E">
        <w:rPr>
          <w:b/>
          <w:sz w:val="24"/>
        </w:rPr>
        <w:t>Meuvaines</w:t>
      </w:r>
      <w:proofErr w:type="spellEnd"/>
      <w:r w:rsidR="00462B4E">
        <w:rPr>
          <w:b/>
          <w:sz w:val="24"/>
        </w:rPr>
        <w:t xml:space="preserve"> et</w:t>
      </w:r>
      <w:r w:rsidRPr="00876943">
        <w:rPr>
          <w:b/>
          <w:sz w:val="24"/>
        </w:rPr>
        <w:t xml:space="preserve"> Ver-sur-Mer</w:t>
      </w:r>
      <w:r w:rsidR="00462B4E">
        <w:rPr>
          <w:b/>
          <w:sz w:val="24"/>
        </w:rPr>
        <w:t>. Marais classés Natura 2000.</w:t>
      </w:r>
    </w:p>
    <w:p w:rsidR="00C96EBF" w:rsidRPr="00876943" w:rsidRDefault="00C96EBF" w:rsidP="00876943">
      <w:pPr>
        <w:pBdr>
          <w:top w:val="single" w:sz="4" w:space="1" w:color="auto"/>
        </w:pBdr>
        <w:jc w:val="center"/>
        <w:rPr>
          <w:sz w:val="24"/>
        </w:rPr>
      </w:pPr>
      <w:r w:rsidRPr="00876943">
        <w:rPr>
          <w:sz w:val="24"/>
        </w:rPr>
        <w:t>Procédure adaptée</w:t>
      </w:r>
    </w:p>
    <w:p w:rsidR="00C96EBF" w:rsidRPr="00876943" w:rsidRDefault="00C96EBF" w:rsidP="00876943">
      <w:pPr>
        <w:jc w:val="center"/>
        <w:rPr>
          <w:sz w:val="24"/>
        </w:rPr>
      </w:pPr>
      <w:r w:rsidRPr="00876943">
        <w:rPr>
          <w:sz w:val="24"/>
        </w:rPr>
        <w:t>En application de l’article R. 2123-1, 1° du code de la commande publique.</w:t>
      </w:r>
    </w:p>
    <w:p w:rsidR="00C96EBF" w:rsidRPr="00876943" w:rsidRDefault="00C96EBF" w:rsidP="00876943">
      <w:pPr>
        <w:pBdr>
          <w:top w:val="single" w:sz="4" w:space="1" w:color="auto"/>
        </w:pBdr>
        <w:jc w:val="center"/>
        <w:rPr>
          <w:b/>
          <w:sz w:val="24"/>
        </w:rPr>
      </w:pPr>
      <w:r w:rsidRPr="00876943">
        <w:rPr>
          <w:b/>
          <w:sz w:val="24"/>
        </w:rPr>
        <w:t>Règlement de la Consultation (R.C.)</w:t>
      </w:r>
    </w:p>
    <w:p w:rsidR="00C96EBF" w:rsidRPr="00876943" w:rsidRDefault="00C96EBF" w:rsidP="00876943">
      <w:pPr>
        <w:jc w:val="center"/>
        <w:rPr>
          <w:b/>
          <w:sz w:val="24"/>
        </w:rPr>
      </w:pPr>
      <w:r w:rsidRPr="00876943">
        <w:rPr>
          <w:b/>
          <w:sz w:val="24"/>
        </w:rPr>
        <w:t xml:space="preserve">Date limite de remise des offres : </w:t>
      </w:r>
      <w:r w:rsidR="00462B4E">
        <w:rPr>
          <w:b/>
          <w:sz w:val="24"/>
        </w:rPr>
        <w:t>12 mai</w:t>
      </w:r>
      <w:r w:rsidRPr="00876943">
        <w:rPr>
          <w:b/>
          <w:sz w:val="24"/>
        </w:rPr>
        <w:t xml:space="preserve"> 2025 à 11h</w:t>
      </w:r>
    </w:p>
    <w:p w:rsidR="00C96EBF" w:rsidRPr="00876943" w:rsidRDefault="00C96EBF" w:rsidP="00E137A6">
      <w:pPr>
        <w:jc w:val="both"/>
        <w:rPr>
          <w:sz w:val="24"/>
        </w:rPr>
      </w:pPr>
      <w:r w:rsidRPr="00876943">
        <w:rPr>
          <w:sz w:val="24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3720" w:rsidRPr="00AF3720" w:rsidTr="00AF3720">
        <w:trPr>
          <w:trHeight w:val="1050"/>
        </w:trPr>
        <w:tc>
          <w:tcPr>
            <w:tcW w:w="11220" w:type="dxa"/>
            <w:noWrap/>
            <w:hideMark/>
          </w:tcPr>
          <w:p w:rsidR="00AF3720" w:rsidRPr="00AF3720" w:rsidRDefault="00AF3720" w:rsidP="00876943">
            <w:pPr>
              <w:spacing w:line="480" w:lineRule="auto"/>
              <w:jc w:val="center"/>
              <w:rPr>
                <w:b/>
                <w:bCs/>
              </w:rPr>
            </w:pPr>
            <w:r w:rsidRPr="00AF3720">
              <w:rPr>
                <w:b/>
                <w:bCs/>
                <w:sz w:val="32"/>
              </w:rPr>
              <w:lastRenderedPageBreak/>
              <w:t>Points clés de la procédure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7E6F68">
            <w:r w:rsidRPr="00AF3720">
              <w:t>Marché à procédure adaptée de prestation de service</w:t>
            </w:r>
            <w:r w:rsidRPr="00AF3720">
              <w:br/>
              <w:t xml:space="preserve">Objet : Prestation d’étude hydrologique dans les Marais Arrière Littoraux Bessin situés sur les communes de </w:t>
            </w:r>
            <w:proofErr w:type="spellStart"/>
            <w:r w:rsidR="007E6F68" w:rsidRPr="00382E38">
              <w:t>Meuvaines</w:t>
            </w:r>
            <w:proofErr w:type="spellEnd"/>
            <w:r w:rsidR="007E6F68" w:rsidRPr="00382E38">
              <w:t xml:space="preserve"> et Ver</w:t>
            </w:r>
            <w:r w:rsidR="007E6F68">
              <w:t>-sur-Mer. Marais classés Natura 2000.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Acheteur : Syndicat Mixte du Littoral Normand</w:t>
            </w:r>
            <w:r w:rsidRPr="00AF3720">
              <w:br/>
              <w:t xml:space="preserve">5 Avenue de </w:t>
            </w:r>
            <w:proofErr w:type="spellStart"/>
            <w:r w:rsidRPr="00AF3720">
              <w:t>Tsukuba</w:t>
            </w:r>
            <w:proofErr w:type="spellEnd"/>
            <w:r w:rsidRPr="00AF3720">
              <w:br/>
              <w:t xml:space="preserve">14200 </w:t>
            </w:r>
            <w:proofErr w:type="spellStart"/>
            <w:r w:rsidRPr="00AF3720">
              <w:t>Hérouville</w:t>
            </w:r>
            <w:proofErr w:type="spellEnd"/>
            <w:r w:rsidRPr="00AF3720">
              <w:t xml:space="preserve"> Saint Clair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En application de l’article R. 2123-1, 1° du code de la commande publique.</w:t>
            </w:r>
            <w:r w:rsidRPr="00AF3720">
              <w:br/>
              <w:t>CCAG applicable au MAPA :  CCAG de fournitures courantes et de services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noWrap/>
            <w:hideMark/>
          </w:tcPr>
          <w:p w:rsidR="00AF3720" w:rsidRPr="00AF3720" w:rsidRDefault="00AF3720" w:rsidP="00876943">
            <w:r w:rsidRPr="00AF3720">
              <w:t>Un seul lot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Profil acheteur</w:t>
            </w:r>
            <w:r w:rsidRPr="00AF3720">
              <w:br/>
              <w:t>https://www.marches-securises.fr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Les renseignements complémentaires doivent être demandés au plus tard 7 jours calendaires avant la date fixées pour la réception des offres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L'offre est valable 3 mois à compter de la date limite de réception des offres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Les informations concernant les tranches conditionnelles sont indiquées au sein du présent document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7E6F68">
            <w:r w:rsidRPr="00AF3720">
              <w:t xml:space="preserve">Le code CPV principal de la consultation </w:t>
            </w:r>
            <w:r w:rsidRPr="007E6F68">
              <w:t xml:space="preserve">: </w:t>
            </w:r>
            <w:r w:rsidR="007E6F68" w:rsidRPr="007E6F68">
              <w:rPr>
                <w:rStyle w:val="hgkelc"/>
                <w:bCs/>
              </w:rPr>
              <w:t>71300000</w:t>
            </w:r>
          </w:p>
        </w:tc>
      </w:tr>
    </w:tbl>
    <w:p w:rsidR="00AF3720" w:rsidRDefault="00AF3720" w:rsidP="00E137A6">
      <w:pPr>
        <w:jc w:val="both"/>
      </w:pPr>
    </w:p>
    <w:p w:rsidR="00C96EBF" w:rsidRDefault="00AF3720" w:rsidP="00E137A6">
      <w:pPr>
        <w:jc w:val="both"/>
      </w:pPr>
      <w:r>
        <w:br w:type="page"/>
      </w:r>
    </w:p>
    <w:sdt>
      <w:sdtPr>
        <w:id w:val="-1297909583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smallCaps w:val="0"/>
          <w:color w:val="auto"/>
          <w:szCs w:val="22"/>
          <w:u w:val="none"/>
        </w:rPr>
      </w:sdtEndPr>
      <w:sdtContent>
        <w:p w:rsidR="00F82500" w:rsidRDefault="00F82500">
          <w:pPr>
            <w:pStyle w:val="En-ttedetabledesmatires"/>
          </w:pPr>
          <w:r>
            <w:t>Table des matières</w:t>
          </w:r>
        </w:p>
        <w:p w:rsidR="00F82500" w:rsidRDefault="00F82500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4484535" w:history="1">
            <w:r w:rsidRPr="0007215A">
              <w:rPr>
                <w:rStyle w:val="Lienhypertexte"/>
                <w:noProof/>
              </w:rPr>
              <w:t>ARTICLE 1. DISPOSITIONS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_Toc194484535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2500" w:rsidRDefault="00F82500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36" w:history="1">
            <w:r w:rsidRPr="0007215A">
              <w:rPr>
                <w:rStyle w:val="Lienhypertexte"/>
                <w:noProof/>
              </w:rPr>
              <w:t>ARTICLE 2. DOSSIER DE CONSULTATION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_Toc194484536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2500" w:rsidRDefault="00F82500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37" w:history="1">
            <w:r w:rsidRPr="0007215A">
              <w:rPr>
                <w:rStyle w:val="Lienhypertexte"/>
                <w:noProof/>
              </w:rPr>
              <w:t>ARTICLE 3. CONDITIONS DE LA CONSULTATION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_Toc194484537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2500" w:rsidRDefault="00F82500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38" w:history="1">
            <w:r w:rsidRPr="0007215A">
              <w:rPr>
                <w:rStyle w:val="Lienhypertexte"/>
                <w:noProof/>
              </w:rPr>
              <w:t>ARTICLE 4. PRÉSENTATION DE LA CANDIDATURE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_Toc194484538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2500" w:rsidRDefault="00F82500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39" w:history="1">
            <w:r w:rsidRPr="0007215A">
              <w:rPr>
                <w:rStyle w:val="Lienhypertexte"/>
                <w:noProof/>
              </w:rPr>
              <w:t>ARTICLE 5. PRÉSENTATION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_Toc194484539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2500" w:rsidRDefault="00F82500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40" w:history="1">
            <w:r w:rsidRPr="0007215A">
              <w:rPr>
                <w:rStyle w:val="Lienhypertexte"/>
                <w:noProof/>
              </w:rPr>
              <w:t>ARTICLE 6. CRITÈRES D’ATTRIBUTION ET CHOIX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_Toc194484540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2500" w:rsidRDefault="00F82500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41" w:history="1">
            <w:r w:rsidRPr="0007215A">
              <w:rPr>
                <w:rStyle w:val="Lienhypertexte"/>
                <w:noProof/>
              </w:rPr>
              <w:t>ARTICLE 7. MODALITÉS DE REMISE DES PLIS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_Toc194484541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2500" w:rsidRDefault="00F82500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42" w:history="1">
            <w:r w:rsidRPr="0007215A">
              <w:rPr>
                <w:rStyle w:val="Lienhypertexte"/>
                <w:noProof/>
              </w:rPr>
              <w:t>ARTICLE 8 : POSSIBILITE DE NEGOCIATION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_Toc194484542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2500" w:rsidRDefault="00F82500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43" w:history="1">
            <w:r w:rsidRPr="0007215A">
              <w:rPr>
                <w:rStyle w:val="Lienhypertexte"/>
                <w:noProof/>
              </w:rPr>
              <w:t>ARTICLE 9. ATTRIBUTION DU MARCHE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_Toc194484543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2500" w:rsidRDefault="00F82500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44" w:history="1">
            <w:r w:rsidRPr="0007215A">
              <w:rPr>
                <w:rStyle w:val="Lienhypertexte"/>
                <w:noProof/>
              </w:rPr>
              <w:t>ARTICLE 10. LITIGES ET DIFFÉRENDS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_Toc194484544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2500" w:rsidRDefault="00F82500">
          <w:r>
            <w:rPr>
              <w:b/>
              <w:bCs/>
            </w:rPr>
            <w:fldChar w:fldCharType="end"/>
          </w:r>
        </w:p>
      </w:sdtContent>
    </w:sdt>
    <w:p w:rsidR="00E701F1" w:rsidRDefault="00E701F1" w:rsidP="00E137A6">
      <w:pPr>
        <w:jc w:val="both"/>
        <w:rPr>
          <w:b/>
          <w:u w:val="single"/>
        </w:rPr>
      </w:pPr>
    </w:p>
    <w:p w:rsidR="00E701F1" w:rsidRDefault="00E701F1" w:rsidP="00734809">
      <w:pPr>
        <w:pStyle w:val="Titre1"/>
      </w:pPr>
      <w:r>
        <w:br w:type="page"/>
      </w:r>
      <w:bookmarkStart w:id="0" w:name="_GoBack"/>
      <w:bookmarkEnd w:id="0"/>
    </w:p>
    <w:p w:rsidR="00E701F1" w:rsidRDefault="00E701F1" w:rsidP="00E137A6">
      <w:pPr>
        <w:jc w:val="both"/>
        <w:rPr>
          <w:b/>
          <w:u w:val="single"/>
        </w:rPr>
      </w:pPr>
    </w:p>
    <w:p w:rsidR="00C96EBF" w:rsidRPr="00E701F1" w:rsidRDefault="00C96EBF" w:rsidP="00956B50">
      <w:pPr>
        <w:pStyle w:val="Titre1"/>
      </w:pPr>
      <w:bookmarkStart w:id="1" w:name="_Toc194484535"/>
      <w:r w:rsidRPr="00E701F1">
        <w:t>ARTICLE 1. DISPOSITIONS GÉNÉRALES</w:t>
      </w:r>
      <w:bookmarkEnd w:id="1"/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1.1. Objet de la consultation</w:t>
      </w:r>
    </w:p>
    <w:p w:rsidR="00C96EBF" w:rsidRDefault="00C96EBF" w:rsidP="00E137A6">
      <w:pPr>
        <w:jc w:val="both"/>
      </w:pPr>
      <w:r>
        <w:t xml:space="preserve">Objet des services : MARCHE DE PRESTATIONS DE SERVICES RELATIF </w:t>
      </w:r>
      <w:r w:rsidR="00023CDB">
        <w:t>A LA REALISATION DE PRESTATIONS D’ETUDES HYDROLOGIQUES</w:t>
      </w:r>
    </w:p>
    <w:p w:rsidR="00C96EBF" w:rsidRDefault="00C96EBF" w:rsidP="00E137A6">
      <w:pPr>
        <w:jc w:val="both"/>
      </w:pPr>
      <w:r>
        <w:t xml:space="preserve">Lieu de prestation du service : </w:t>
      </w:r>
      <w:proofErr w:type="spellStart"/>
      <w:r w:rsidR="00462B4E">
        <w:t>Meuvaines</w:t>
      </w:r>
      <w:proofErr w:type="spellEnd"/>
      <w:r w:rsidR="00462B4E">
        <w:t xml:space="preserve"> et</w:t>
      </w:r>
      <w:r w:rsidR="00023CDB">
        <w:t xml:space="preserve"> Vers-sur-Mer (Calvados – 14)</w:t>
      </w:r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1.2. Codes CPV</w:t>
      </w:r>
    </w:p>
    <w:p w:rsidR="00C75067" w:rsidRDefault="00C96EBF" w:rsidP="00E137A6">
      <w:pPr>
        <w:jc w:val="both"/>
      </w:pPr>
      <w:r>
        <w:t xml:space="preserve">Le code CPV principal de l'accord-cadre est le suivant : </w:t>
      </w:r>
      <w:r w:rsidR="00023CDB" w:rsidRPr="008C7217">
        <w:rPr>
          <w:rStyle w:val="hgkelc"/>
          <w:bCs/>
        </w:rPr>
        <w:t>71300000</w:t>
      </w:r>
      <w:r>
        <w:t xml:space="preserve">- </w:t>
      </w:r>
      <w:r w:rsidR="00C75067">
        <w:t>Étude d'impact sur l'env</w:t>
      </w:r>
      <w:r w:rsidR="00382E38">
        <w:t>ironnement pour la construction.</w:t>
      </w:r>
    </w:p>
    <w:p w:rsidR="00C96EBF" w:rsidRPr="00382E38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1.3. Durée</w:t>
      </w:r>
    </w:p>
    <w:p w:rsidR="00C96EBF" w:rsidRPr="00382E38" w:rsidRDefault="00382E38" w:rsidP="00E137A6">
      <w:pPr>
        <w:jc w:val="both"/>
      </w:pPr>
      <w:r w:rsidRPr="00382E38">
        <w:t>Le marché</w:t>
      </w:r>
      <w:r w:rsidR="00C96EBF" w:rsidRPr="00382E38">
        <w:t xml:space="preserve"> est conclu pour une durée de </w:t>
      </w:r>
      <w:r w:rsidR="00C75067" w:rsidRPr="00382E38">
        <w:t xml:space="preserve">7 mois, à laquelle il pourra être ajouter une tranche optionnelle de </w:t>
      </w:r>
      <w:r w:rsidRPr="00382E38">
        <w:t>17</w:t>
      </w:r>
      <w:r w:rsidR="00C75067" w:rsidRPr="00382E38">
        <w:t xml:space="preserve"> mois. Soit un total de </w:t>
      </w:r>
      <w:r w:rsidRPr="00382E38">
        <w:t>24</w:t>
      </w:r>
      <w:r w:rsidR="00C75067" w:rsidRPr="00382E38">
        <w:t xml:space="preserve"> mois.</w:t>
      </w:r>
    </w:p>
    <w:p w:rsidR="00C96EBF" w:rsidRDefault="00C96EBF" w:rsidP="00E137A6">
      <w:pPr>
        <w:jc w:val="both"/>
      </w:pPr>
      <w:r>
        <w:t xml:space="preserve">La durée </w:t>
      </w:r>
      <w:r w:rsidR="00C75067">
        <w:t>du MAPA</w:t>
      </w:r>
      <w:r>
        <w:t xml:space="preserve"> commence à courir à partir de la notification.</w:t>
      </w:r>
    </w:p>
    <w:p w:rsidR="00C96EBF" w:rsidRDefault="00C96EBF" w:rsidP="00E137A6">
      <w:pPr>
        <w:jc w:val="both"/>
      </w:pPr>
      <w:r>
        <w:t>Délai d'exécution :</w:t>
      </w:r>
    </w:p>
    <w:p w:rsidR="00C96EBF" w:rsidRDefault="00C96EBF" w:rsidP="00E137A6">
      <w:pPr>
        <w:jc w:val="both"/>
      </w:pPr>
      <w:r>
        <w:t xml:space="preserve">Le délai d’exécution </w:t>
      </w:r>
      <w:r w:rsidR="00C75067">
        <w:t>est de 7 mois pour la tranche ferme et 8 mois pour la tranche optionnelle</w:t>
      </w:r>
    </w:p>
    <w:p w:rsidR="00C96EBF" w:rsidRPr="00E701F1" w:rsidRDefault="00C96EBF" w:rsidP="00956B50">
      <w:pPr>
        <w:pStyle w:val="Titre1"/>
      </w:pPr>
      <w:bookmarkStart w:id="2" w:name="_Toc194484536"/>
      <w:r w:rsidRPr="00E701F1">
        <w:t>ARTICLE 2. DOSSIER DE CONSULTATION</w:t>
      </w:r>
      <w:bookmarkEnd w:id="2"/>
    </w:p>
    <w:p w:rsidR="00C96EBF" w:rsidRDefault="00C96EBF" w:rsidP="00E137A6">
      <w:pPr>
        <w:jc w:val="both"/>
      </w:pPr>
      <w:r>
        <w:t>Vous pouvez consulter les documents en ligne à l’adresse suivante : https://www.marches-securises.fr/</w:t>
      </w:r>
    </w:p>
    <w:p w:rsidR="00C96EBF" w:rsidRDefault="00C96EBF" w:rsidP="00E137A6">
      <w:pPr>
        <w:jc w:val="both"/>
      </w:pPr>
      <w:r>
        <w:t>Le dossier de consultation comprend les éléments suivants :</w:t>
      </w:r>
    </w:p>
    <w:p w:rsidR="00C96EBF" w:rsidRDefault="00C96EBF" w:rsidP="00E137A6">
      <w:pPr>
        <w:jc w:val="both"/>
      </w:pPr>
      <w:r>
        <w:t>- L'acte d'engagement (AE) et ses éventuelles annexes financières</w:t>
      </w:r>
    </w:p>
    <w:p w:rsidR="00C96EBF" w:rsidRDefault="00C96EBF" w:rsidP="00E137A6">
      <w:pPr>
        <w:jc w:val="both"/>
      </w:pPr>
      <w:r>
        <w:t>- Règlement Consultation (RC)</w:t>
      </w:r>
    </w:p>
    <w:p w:rsidR="00C96EBF" w:rsidRDefault="00C96EBF" w:rsidP="00E137A6">
      <w:pPr>
        <w:jc w:val="both"/>
      </w:pPr>
      <w:r>
        <w:t>- Détail Quantitatif Estimatif</w:t>
      </w:r>
    </w:p>
    <w:p w:rsidR="00C96EBF" w:rsidRDefault="00C96EBF" w:rsidP="00E137A6">
      <w:pPr>
        <w:jc w:val="both"/>
      </w:pPr>
      <w:r>
        <w:t>- Le cahier des clauses administratives particulières (CCAP) ou tout autre do</w:t>
      </w:r>
      <w:r w:rsidR="00C75067">
        <w:t xml:space="preserve">cument qui en tient lieu et ses </w:t>
      </w:r>
      <w:r>
        <w:t>éventuelles annexes</w:t>
      </w:r>
    </w:p>
    <w:p w:rsidR="00C96EBF" w:rsidRDefault="00C96EBF" w:rsidP="00E137A6">
      <w:pPr>
        <w:jc w:val="both"/>
      </w:pPr>
      <w:r>
        <w:t>- Le cahier des clauses techniques particulières (CCTP) ou tout autre do</w:t>
      </w:r>
      <w:r w:rsidR="00C75067">
        <w:t xml:space="preserve">cument qui en tient lieu et ses </w:t>
      </w:r>
      <w:r>
        <w:t>éventuelles annexes</w:t>
      </w:r>
    </w:p>
    <w:p w:rsidR="00C96EBF" w:rsidRDefault="00C96EBF" w:rsidP="00E137A6">
      <w:pPr>
        <w:jc w:val="both"/>
      </w:pPr>
      <w:r>
        <w:t>- Les actes spéciaux de sous-traitance et leurs éventuels actes modificatifs, p</w:t>
      </w:r>
      <w:r w:rsidR="00C75067">
        <w:t xml:space="preserve">ostérieurs à la notification du </w:t>
      </w:r>
      <w:r>
        <w:t>marché</w:t>
      </w:r>
    </w:p>
    <w:p w:rsidR="00C96EBF" w:rsidRDefault="00C96EBF" w:rsidP="00E137A6">
      <w:pPr>
        <w:jc w:val="both"/>
      </w:pPr>
      <w:r>
        <w:t xml:space="preserve">L’acheteur se réserve le droit d’apporter des modifications de détail </w:t>
      </w:r>
      <w:r w:rsidR="00C75067">
        <w:t xml:space="preserve">au dossier de consultation. Ces </w:t>
      </w:r>
      <w:r>
        <w:t>modifications devront être reçues par les candidats au plus tard 6 jours cale</w:t>
      </w:r>
      <w:r w:rsidR="00C75067">
        <w:t xml:space="preserve">ndaires avant la date limite de </w:t>
      </w:r>
      <w:r>
        <w:t xml:space="preserve">réception des offres. Les candidats devront alors répondre sur la base </w:t>
      </w:r>
      <w:r w:rsidR="00C75067">
        <w:t xml:space="preserve">du dossier modifié sans pouvoir </w:t>
      </w:r>
      <w:r>
        <w:t>élever aucune réclamation à ce sujet.</w:t>
      </w:r>
    </w:p>
    <w:p w:rsidR="00C96EBF" w:rsidRDefault="00C96EBF" w:rsidP="00E137A6">
      <w:pPr>
        <w:jc w:val="both"/>
      </w:pPr>
      <w:r>
        <w:lastRenderedPageBreak/>
        <w:t>Les renseignements complémentaires sur les documents de la consultation seront envoyés aux opérateurs</w:t>
      </w:r>
      <w:r w:rsidR="00C75067">
        <w:t xml:space="preserve"> </w:t>
      </w:r>
      <w:r>
        <w:t>économiques 6 jours calendaires au plus tard avant la date limite fixée pou</w:t>
      </w:r>
      <w:r w:rsidR="00C75067">
        <w:t xml:space="preserve">r la réception des offres, pour </w:t>
      </w:r>
      <w:r>
        <w:t>autant qu'ils en aient fait la demande 7 jours calendaires avant la date lim</w:t>
      </w:r>
      <w:r w:rsidR="00C75067">
        <w:t xml:space="preserve">ite fixée pour la réception des </w:t>
      </w:r>
      <w:r>
        <w:t>offres.</w:t>
      </w:r>
    </w:p>
    <w:p w:rsidR="00C96EBF" w:rsidRDefault="00C96EBF" w:rsidP="00E137A6">
      <w:pPr>
        <w:jc w:val="both"/>
      </w:pPr>
      <w:r>
        <w:t>Si un complément d'informations, nécessaire à l'élaboration de l'offre n</w:t>
      </w:r>
      <w:r w:rsidR="00C75067">
        <w:t xml:space="preserve">'est pas fourni dans les délais </w:t>
      </w:r>
      <w:r>
        <w:t xml:space="preserve">prévus ci-dessus, ou si des modifications importantes sont apportées aux </w:t>
      </w:r>
      <w:r w:rsidR="00C75067">
        <w:t xml:space="preserve">documents de l'accord-cadre, le </w:t>
      </w:r>
      <w:r>
        <w:t xml:space="preserve">délai de réception des offres sera prolongé de manière proportionnée </w:t>
      </w:r>
      <w:r w:rsidR="00C75067">
        <w:t xml:space="preserve">à l'importance des informations </w:t>
      </w:r>
      <w:r>
        <w:t>demandées ou des modifications apportées.</w:t>
      </w:r>
    </w:p>
    <w:p w:rsidR="00C96EBF" w:rsidRPr="00E701F1" w:rsidRDefault="00C96EBF" w:rsidP="00956B50">
      <w:pPr>
        <w:pStyle w:val="Titre1"/>
      </w:pPr>
      <w:bookmarkStart w:id="3" w:name="_Toc194484537"/>
      <w:r w:rsidRPr="00E701F1">
        <w:t>ARTICLE 3. CONDITIONS DE LA CONSULTATION</w:t>
      </w:r>
      <w:bookmarkEnd w:id="3"/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3.1. Procédure de passation</w:t>
      </w:r>
    </w:p>
    <w:p w:rsidR="00C96EBF" w:rsidRDefault="00C96EBF" w:rsidP="00E137A6">
      <w:pPr>
        <w:jc w:val="both"/>
      </w:pPr>
      <w:r>
        <w:t>Conformément à l’article R. 2123-1, 1° du Code de la commande publiqu</w:t>
      </w:r>
      <w:r w:rsidR="00C75067">
        <w:t xml:space="preserve">e, le marché est passé par </w:t>
      </w:r>
      <w:r>
        <w:t>procédure adaptée.</w:t>
      </w:r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3.2. Allotissement</w:t>
      </w:r>
    </w:p>
    <w:p w:rsidR="00C75067" w:rsidRDefault="00C75067" w:rsidP="00E137A6">
      <w:pPr>
        <w:jc w:val="both"/>
      </w:pPr>
      <w:r>
        <w:t>Il n’y a pas d’allotissement</w:t>
      </w:r>
    </w:p>
    <w:p w:rsidR="00C96EBF" w:rsidRPr="00E701F1" w:rsidRDefault="00C75067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3.3</w:t>
      </w:r>
      <w:r w:rsidR="00C96EBF" w:rsidRPr="00E701F1">
        <w:rPr>
          <w:i/>
          <w:u w:val="single"/>
        </w:rPr>
        <w:t>. Renseignements complémentaires</w:t>
      </w:r>
    </w:p>
    <w:p w:rsidR="00C96EBF" w:rsidRDefault="00C96EBF" w:rsidP="00E137A6">
      <w:pPr>
        <w:jc w:val="both"/>
      </w:pPr>
      <w:r>
        <w:t>Pour tous renseignements complémentaires concernant cette consulta</w:t>
      </w:r>
      <w:r w:rsidR="00C75067">
        <w:t xml:space="preserve">tion les candidats transmettent </w:t>
      </w:r>
      <w:r>
        <w:t>impérativement leur demande par l’intermédiaire du profil acheteur dont l'adresse URL est la suivante :</w:t>
      </w:r>
    </w:p>
    <w:p w:rsidR="00C96EBF" w:rsidRDefault="00C96EBF" w:rsidP="00E137A6">
      <w:pPr>
        <w:jc w:val="both"/>
      </w:pPr>
      <w:r>
        <w:t>https://www.marches-securises.fr/</w:t>
      </w:r>
    </w:p>
    <w:p w:rsidR="00C96EBF" w:rsidRPr="00E701F1" w:rsidRDefault="00C96EBF" w:rsidP="00956B50">
      <w:pPr>
        <w:pStyle w:val="Titre1"/>
      </w:pPr>
      <w:bookmarkStart w:id="4" w:name="_Toc194484538"/>
      <w:r w:rsidRPr="00E701F1">
        <w:t>ARTICLE 4. PRÉSENTATION DE LA CANDIDATURE</w:t>
      </w:r>
      <w:bookmarkEnd w:id="4"/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4.1. Dossier de candidature</w:t>
      </w:r>
    </w:p>
    <w:p w:rsidR="00C96EBF" w:rsidRDefault="00C96EBF" w:rsidP="00E137A6">
      <w:pPr>
        <w:jc w:val="both"/>
      </w:pPr>
      <w:r>
        <w:t>Dans le cadre de sa candidature, le candidat devra produire les documents suivants.</w:t>
      </w:r>
    </w:p>
    <w:p w:rsidR="00C96EBF" w:rsidRDefault="00C96EBF" w:rsidP="00E137A6">
      <w:pPr>
        <w:jc w:val="both"/>
      </w:pPr>
      <w:r>
        <w:t xml:space="preserve">Si ceux-ci ne sont pas remis en français, une traduction des documents </w:t>
      </w:r>
      <w:r w:rsidR="00C75067">
        <w:t xml:space="preserve">devra être jointe au dossier de </w:t>
      </w:r>
      <w:r>
        <w:t>candidature.</w:t>
      </w:r>
    </w:p>
    <w:p w:rsidR="00C96EBF" w:rsidRDefault="00C96EBF" w:rsidP="00E137A6">
      <w:pPr>
        <w:jc w:val="both"/>
      </w:pPr>
      <w:r>
        <w:t>Le candidat peut présenter sa candidature sous forme d’un doc</w:t>
      </w:r>
      <w:r w:rsidR="00C75067">
        <w:t xml:space="preserve">ument unique de marché européen </w:t>
      </w:r>
      <w:r>
        <w:t>(DUME), en lieu et place des formulaires DC1 et DC2. En</w:t>
      </w:r>
      <w:r w:rsidR="00C75067">
        <w:t xml:space="preserve"> cas de groupe</w:t>
      </w:r>
      <w:r w:rsidR="008C7217">
        <w:t xml:space="preserve">ment d’opérateurs économiques, </w:t>
      </w:r>
      <w:r>
        <w:t>chacun des membres du groupement fournira un formulaire DUME complété.</w:t>
      </w:r>
    </w:p>
    <w:p w:rsidR="00C96EBF" w:rsidRDefault="00C96EBF" w:rsidP="00E137A6">
      <w:pPr>
        <w:jc w:val="both"/>
      </w:pPr>
      <w:r>
        <w:t xml:space="preserve">Les capacités professionnelles, techniques et financières du candidat seront </w:t>
      </w:r>
      <w:r w:rsidR="00C75067">
        <w:t xml:space="preserve">analysées à partir des critères </w:t>
      </w:r>
      <w:r>
        <w:t>listés ci-dessous. Lorsqu’un niveau minimum est exigé pour un critère, le ca</w:t>
      </w:r>
      <w:r w:rsidR="00C75067">
        <w:t xml:space="preserve">ndidat doit fournir les preuves </w:t>
      </w:r>
      <w:r>
        <w:t>des minimaux demandés ou toute autre forme de preuve équivalente.</w:t>
      </w:r>
    </w:p>
    <w:p w:rsidR="00C96EBF" w:rsidRDefault="00C96EBF" w:rsidP="00E137A6">
      <w:pPr>
        <w:jc w:val="both"/>
      </w:pPr>
      <w:r>
        <w:t>N° Capacité économiq</w:t>
      </w:r>
      <w:r w:rsidR="00C75067">
        <w:t xml:space="preserve">ue et financière du candidat </w:t>
      </w:r>
    </w:p>
    <w:p w:rsidR="00C96EBF" w:rsidRDefault="00C96EBF" w:rsidP="00E137A6">
      <w:pPr>
        <w:jc w:val="both"/>
      </w:pPr>
      <w:r>
        <w:t xml:space="preserve">1 Déclaration concernant le chiffre d'affaires </w:t>
      </w:r>
      <w:r w:rsidR="00C75067">
        <w:t xml:space="preserve">global et le chiffre d'affaires </w:t>
      </w:r>
      <w:r>
        <w:t>concernant les prestations objet du contra</w:t>
      </w:r>
      <w:r w:rsidR="00C75067">
        <w:t xml:space="preserve">t, réalisées au cours des trois </w:t>
      </w:r>
      <w:r>
        <w:t>derniers exercices disp</w:t>
      </w:r>
      <w:r w:rsidR="00C75067">
        <w:t>onibles</w:t>
      </w:r>
    </w:p>
    <w:p w:rsidR="00C96EBF" w:rsidRDefault="00C96EBF" w:rsidP="00E137A6">
      <w:pPr>
        <w:jc w:val="both"/>
      </w:pPr>
      <w:r>
        <w:t>N° Capacité technique et</w:t>
      </w:r>
      <w:r w:rsidR="00C75067">
        <w:t xml:space="preserve"> professionnelle du candidat</w:t>
      </w:r>
    </w:p>
    <w:p w:rsidR="00C96EBF" w:rsidRDefault="00C96EBF" w:rsidP="00E137A6">
      <w:pPr>
        <w:jc w:val="both"/>
      </w:pPr>
      <w:r>
        <w:lastRenderedPageBreak/>
        <w:t>1 Une déclaration indiquant les effectif</w:t>
      </w:r>
      <w:r w:rsidR="00C75067">
        <w:t xml:space="preserve">s moyens annuels du candidat et </w:t>
      </w:r>
      <w:r>
        <w:t>l'importance du personnel d'encadrement p</w:t>
      </w:r>
      <w:r w:rsidR="00C75067">
        <w:t xml:space="preserve">our chacune des trois dernières </w:t>
      </w:r>
      <w:r>
        <w:t>années.</w:t>
      </w:r>
    </w:p>
    <w:p w:rsidR="00C96EBF" w:rsidRDefault="00C96EBF" w:rsidP="00E137A6">
      <w:pPr>
        <w:jc w:val="both"/>
      </w:pPr>
      <w:r>
        <w:t>2 Une liste des principales livraisons effectuées ou des principaux services</w:t>
      </w:r>
      <w:r w:rsidR="00C75067">
        <w:t xml:space="preserve"> </w:t>
      </w:r>
      <w:r>
        <w:t>fournis au cours des trois dernières années, i</w:t>
      </w:r>
      <w:r w:rsidR="00C75067">
        <w:t xml:space="preserve">ndiquant le montant, la date et </w:t>
      </w:r>
      <w:r>
        <w:t>le destinataire public ou privé. Les livraisons</w:t>
      </w:r>
      <w:r w:rsidR="00C75067">
        <w:t xml:space="preserve"> et les prestations de services </w:t>
      </w:r>
      <w:r>
        <w:t>sont prouvées par des attestations du des</w:t>
      </w:r>
      <w:r w:rsidR="00C75067">
        <w:t xml:space="preserve">tinataire ou, à défaut, par une </w:t>
      </w:r>
      <w:r>
        <w:t>déclaration de l'opérateur économique.</w:t>
      </w:r>
    </w:p>
    <w:p w:rsidR="00C96EBF" w:rsidRDefault="00C96EBF" w:rsidP="00E137A6">
      <w:pPr>
        <w:jc w:val="both"/>
      </w:pPr>
      <w:r>
        <w:t>En application de l’article R2143-13 du code de la commande publique, les</w:t>
      </w:r>
      <w:r w:rsidR="00C75067">
        <w:t xml:space="preserve"> candidats ne sont pas tenus de </w:t>
      </w:r>
      <w:r>
        <w:t>fournir les documents listés ci-dessous si l’acheteur peut les o</w:t>
      </w:r>
      <w:r w:rsidR="00C75067">
        <w:t xml:space="preserve">btenir directement par le biais </w:t>
      </w:r>
      <w:r>
        <w:t>:</w:t>
      </w:r>
    </w:p>
    <w:p w:rsidR="00C96EBF" w:rsidRDefault="00C96EBF" w:rsidP="00E137A6">
      <w:pPr>
        <w:jc w:val="both"/>
      </w:pPr>
      <w:r>
        <w:t>1° D'un système électronique de mise à disposition d'informations adminis</w:t>
      </w:r>
      <w:r w:rsidR="00C75067">
        <w:t xml:space="preserve">tré par un organisme officiel à </w:t>
      </w:r>
      <w:r>
        <w:t>condition que l'accès à celui-ci soit gratuit et, le cas échéant, que figurent</w:t>
      </w:r>
      <w:r w:rsidR="00C75067">
        <w:t xml:space="preserve"> dans le dossier de candidature </w:t>
      </w:r>
      <w:r>
        <w:t>toutes les informations nécessaires à sa consultation ;</w:t>
      </w:r>
    </w:p>
    <w:p w:rsidR="00C96EBF" w:rsidRDefault="00C96EBF" w:rsidP="00E137A6">
      <w:pPr>
        <w:jc w:val="both"/>
      </w:pPr>
      <w:r>
        <w:t>2° D'un espace de stockage numérique, à condition que figurent dans le do</w:t>
      </w:r>
      <w:r w:rsidR="00C75067">
        <w:t xml:space="preserve">ssier de candidature toutes les </w:t>
      </w:r>
      <w:r>
        <w:t>informations nécessaires à sa consultation et que l'accès à ceux-ci soit gratuit.</w:t>
      </w:r>
    </w:p>
    <w:p w:rsidR="00C96EBF" w:rsidRDefault="00C96EBF" w:rsidP="00E137A6">
      <w:pPr>
        <w:jc w:val="both"/>
      </w:pPr>
      <w:r>
        <w:t>Liste des pièces justificatives que les entreprises ne sont pas tenues de pro</w:t>
      </w:r>
      <w:r w:rsidR="00C75067">
        <w:t xml:space="preserve">duire dans leur candidature aux </w:t>
      </w:r>
      <w:r>
        <w:t>marchés publics:</w:t>
      </w:r>
    </w:p>
    <w:p w:rsidR="00C96EBF" w:rsidRDefault="00C96EBF" w:rsidP="00E137A6">
      <w:pPr>
        <w:jc w:val="both"/>
      </w:pPr>
      <w:r>
        <w:t>En application du code des relations entre le public et l'administrat</w:t>
      </w:r>
      <w:r w:rsidR="00C75067">
        <w:t xml:space="preserve">ion, le candidat n'est pas dans </w:t>
      </w:r>
      <w:r>
        <w:t>l'obligation de transmettre les justificatifs suivants :</w:t>
      </w:r>
    </w:p>
    <w:p w:rsidR="00C96EBF" w:rsidRDefault="00C96EBF" w:rsidP="00E137A6">
      <w:pPr>
        <w:jc w:val="both"/>
      </w:pPr>
      <w:r>
        <w:t>- l'attestation de régularité fiscale ;</w:t>
      </w:r>
    </w:p>
    <w:p w:rsidR="00C96EBF" w:rsidRDefault="00C96EBF" w:rsidP="00E137A6">
      <w:pPr>
        <w:jc w:val="both"/>
      </w:pPr>
      <w:r>
        <w:t>- les déclarations de résultats soumis aux bénéfices industriels et commerciaux ;</w:t>
      </w:r>
    </w:p>
    <w:p w:rsidR="00C96EBF" w:rsidRDefault="00C96EBF" w:rsidP="00E137A6">
      <w:pPr>
        <w:jc w:val="both"/>
      </w:pPr>
      <w:r>
        <w:t>- les déclarations de bénéfices non commerciaux ;</w:t>
      </w:r>
    </w:p>
    <w:p w:rsidR="00C96EBF" w:rsidRDefault="00C96EBF" w:rsidP="00E137A6">
      <w:pPr>
        <w:jc w:val="both"/>
      </w:pPr>
      <w:r>
        <w:t>- les déclarations de résultats soumis aux bénéfices agricoles ;</w:t>
      </w:r>
    </w:p>
    <w:p w:rsidR="00C96EBF" w:rsidRDefault="00C96EBF" w:rsidP="00E137A6">
      <w:pPr>
        <w:jc w:val="both"/>
      </w:pPr>
      <w:r>
        <w:t>- les déclarations de résultats soumis à l'impôt sur les sociétés ;</w:t>
      </w:r>
    </w:p>
    <w:p w:rsidR="00C96EBF" w:rsidRDefault="00C96EBF" w:rsidP="00E137A6">
      <w:pPr>
        <w:jc w:val="both"/>
      </w:pPr>
      <w:r>
        <w:t>- les déclarations pour les sociétés mères et les filiales de groupe ;</w:t>
      </w:r>
    </w:p>
    <w:p w:rsidR="00C96EBF" w:rsidRDefault="00C96EBF" w:rsidP="00E137A6">
      <w:pPr>
        <w:jc w:val="both"/>
      </w:pPr>
      <w:r>
        <w:t xml:space="preserve">- l'extrait d'immatriculation au registre du commerce et des sociétés (extrait </w:t>
      </w:r>
      <w:proofErr w:type="spellStart"/>
      <w:r>
        <w:t>KBis</w:t>
      </w:r>
      <w:proofErr w:type="spellEnd"/>
      <w:r>
        <w:t>) et les statuts ;</w:t>
      </w:r>
    </w:p>
    <w:p w:rsidR="00C96EBF" w:rsidRDefault="00C96EBF" w:rsidP="00E137A6">
      <w:pPr>
        <w:jc w:val="both"/>
      </w:pPr>
      <w:r>
        <w:t>- les attestations de régularité sociale et de vigilance ;</w:t>
      </w:r>
    </w:p>
    <w:p w:rsidR="00C96EBF" w:rsidRDefault="00C96EBF" w:rsidP="00E137A6">
      <w:pPr>
        <w:jc w:val="both"/>
      </w:pPr>
      <w:r>
        <w:t>- la carte professionnelle d'entrepreneur de travaux publics.</w:t>
      </w:r>
    </w:p>
    <w:p w:rsidR="00C96EBF" w:rsidRDefault="00C96EBF" w:rsidP="00E137A6">
      <w:pPr>
        <w:jc w:val="both"/>
      </w:pPr>
      <w:r>
        <w:t>Si le candidat est une personne physique :</w:t>
      </w:r>
    </w:p>
    <w:p w:rsidR="00C96EBF" w:rsidRDefault="00C96EBF" w:rsidP="00E137A6">
      <w:pPr>
        <w:jc w:val="both"/>
      </w:pPr>
      <w:r>
        <w:t>- l’avis d'imposition à l'impôt sur le revenu ou l'avis de situation décl</w:t>
      </w:r>
      <w:r w:rsidR="00C75067">
        <w:t xml:space="preserve">arative à l'impôt sur le revenu </w:t>
      </w:r>
      <w:r>
        <w:t>émanant de la direction générale des finances publiques ;</w:t>
      </w:r>
    </w:p>
    <w:p w:rsidR="00C96EBF" w:rsidRDefault="00C96EBF" w:rsidP="00E137A6">
      <w:pPr>
        <w:jc w:val="both"/>
      </w:pPr>
      <w:r>
        <w:t>- l'attestation de droit aux prestations délivrées aux bénéficiaires</w:t>
      </w:r>
      <w:r w:rsidR="00C75067">
        <w:t xml:space="preserve"> par les organismes de sécurité </w:t>
      </w:r>
      <w:r>
        <w:t>sociale ;</w:t>
      </w:r>
    </w:p>
    <w:p w:rsidR="00C96EBF" w:rsidRDefault="00C96EBF" w:rsidP="00E137A6">
      <w:pPr>
        <w:jc w:val="both"/>
      </w:pPr>
      <w:r>
        <w:t xml:space="preserve">- Le justificatif d'identité, lorsque le </w:t>
      </w:r>
      <w:proofErr w:type="spellStart"/>
      <w:r>
        <w:t>téléservice</w:t>
      </w:r>
      <w:proofErr w:type="spellEnd"/>
      <w:r>
        <w:t xml:space="preserve"> de l'administration propose le dispositif</w:t>
      </w:r>
      <w:proofErr w:type="gramStart"/>
      <w:r w:rsidR="007476C7">
        <w:t xml:space="preserve"> </w:t>
      </w:r>
      <w:r>
        <w:t>«</w:t>
      </w:r>
      <w:proofErr w:type="spellStart"/>
      <w:r>
        <w:t>FranceConnect</w:t>
      </w:r>
      <w:proofErr w:type="spellEnd"/>
      <w:proofErr w:type="gramEnd"/>
      <w:r>
        <w:t>» mis en œuvre par l'administration cha</w:t>
      </w:r>
      <w:r w:rsidR="00E137A6">
        <w:t xml:space="preserve">rgée du numérique et du système d'information et </w:t>
      </w:r>
      <w:r>
        <w:t>de communication de l'Etat sous réserve des dispositions de l'article R. 11</w:t>
      </w:r>
      <w:r w:rsidR="00E137A6">
        <w:t xml:space="preserve">3-9 du code des relations entre </w:t>
      </w:r>
      <w:r>
        <w:t>le public et l'administration.</w:t>
      </w:r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4.2. Sous-traitance</w:t>
      </w:r>
    </w:p>
    <w:p w:rsidR="00C96EBF" w:rsidRDefault="00C96EBF" w:rsidP="00E137A6">
      <w:pPr>
        <w:jc w:val="both"/>
      </w:pPr>
      <w:r>
        <w:lastRenderedPageBreak/>
        <w:t>Le soumissionnaire présente dans son offre les sous-traitants dont l'intervention est envisagée, s'ils sont</w:t>
      </w:r>
      <w:r w:rsidR="00E137A6">
        <w:t xml:space="preserve"> </w:t>
      </w:r>
      <w:r>
        <w:t>connus.</w:t>
      </w:r>
    </w:p>
    <w:p w:rsidR="00C96EBF" w:rsidRDefault="00C96EBF" w:rsidP="00E137A6">
      <w:pPr>
        <w:jc w:val="both"/>
      </w:pPr>
      <w:r>
        <w:t>Pour chaque sous-traitant présenté dans l'offre, le soumissionnaire joindra :</w:t>
      </w:r>
    </w:p>
    <w:p w:rsidR="00C96EBF" w:rsidRDefault="00C96EBF" w:rsidP="00E137A6">
      <w:pPr>
        <w:jc w:val="both"/>
      </w:pPr>
      <w:r>
        <w:t>- les pièces permettant de justifier des capacités techniques, professio</w:t>
      </w:r>
      <w:r w:rsidR="00E137A6">
        <w:t>nnelles et financières du sous-</w:t>
      </w:r>
      <w:r>
        <w:t>traitant lorsque le candidat ou l'un des membres du groupement candidat s</w:t>
      </w:r>
      <w:r w:rsidR="00E137A6">
        <w:t xml:space="preserve">'appuie sur la ou les capacités </w:t>
      </w:r>
      <w:r>
        <w:t>du sous-traitant proposé. Le candidat joindra à cet égard la preuve q</w:t>
      </w:r>
      <w:r w:rsidR="00E137A6">
        <w:t xml:space="preserve">u'il disposera des capacités de </w:t>
      </w:r>
      <w:r>
        <w:t>l'opérateur économique pour l'exécution du marché;</w:t>
      </w:r>
    </w:p>
    <w:p w:rsidR="00C96EBF" w:rsidRDefault="00C96EBF" w:rsidP="00E137A6">
      <w:pPr>
        <w:jc w:val="both"/>
      </w:pPr>
      <w:r>
        <w:t>- une déclaration indiquant que le sous-traitant ne tombe pas sou</w:t>
      </w:r>
      <w:r w:rsidR="00E137A6">
        <w:t xml:space="preserve">s le coup d'une interdiction de </w:t>
      </w:r>
      <w:r>
        <w:t>soumissionner aux marchés publics;</w:t>
      </w:r>
    </w:p>
    <w:p w:rsidR="00C96EBF" w:rsidRDefault="00C96EBF" w:rsidP="00E137A6">
      <w:pPr>
        <w:jc w:val="both"/>
      </w:pPr>
      <w:r>
        <w:t>- le formulaire DC4 (déclaration de sous-traitance) dans sa dernière mise à jour dûment complété et signé.</w:t>
      </w:r>
    </w:p>
    <w:p w:rsidR="00C96EBF" w:rsidRPr="00C0467B" w:rsidRDefault="00C96EBF" w:rsidP="00E137A6">
      <w:pPr>
        <w:jc w:val="both"/>
        <w:rPr>
          <w:i/>
          <w:u w:val="single"/>
        </w:rPr>
      </w:pPr>
      <w:r w:rsidRPr="00C0467B">
        <w:rPr>
          <w:i/>
          <w:u w:val="single"/>
        </w:rPr>
        <w:t>4.3. Groupements d’opérateurs économiques</w:t>
      </w:r>
    </w:p>
    <w:p w:rsidR="00C96EBF" w:rsidRPr="00C0467B" w:rsidRDefault="00C96EBF" w:rsidP="00E137A6">
      <w:pPr>
        <w:jc w:val="both"/>
      </w:pPr>
      <w:r w:rsidRPr="00C0467B">
        <w:t>Conformément à l’article R. 2142-19 du code de la commande publiqu</w:t>
      </w:r>
      <w:r w:rsidR="00E137A6" w:rsidRPr="00C0467B">
        <w:t xml:space="preserve">e, les groupements d’opérateurs </w:t>
      </w:r>
      <w:r w:rsidRPr="00C0467B">
        <w:t>économiques peuvent participer à la présente consultation.</w:t>
      </w:r>
    </w:p>
    <w:p w:rsidR="00C96EBF" w:rsidRPr="00C0467B" w:rsidRDefault="00C96EBF" w:rsidP="00E137A6">
      <w:pPr>
        <w:jc w:val="both"/>
      </w:pPr>
      <w:r w:rsidRPr="00C0467B">
        <w:t>Lors de la remise de la candidature et de l’offre, la forme juridique du gr</w:t>
      </w:r>
      <w:r w:rsidR="00E137A6" w:rsidRPr="00C0467B">
        <w:t xml:space="preserve">oupement est laissée à la libre </w:t>
      </w:r>
      <w:r w:rsidRPr="00C0467B">
        <w:t>appréciation des candidats.</w:t>
      </w:r>
    </w:p>
    <w:p w:rsidR="00C96EBF" w:rsidRPr="00C0467B" w:rsidRDefault="00C96EBF" w:rsidP="00E137A6">
      <w:pPr>
        <w:jc w:val="both"/>
      </w:pPr>
      <w:r w:rsidRPr="00C0467B">
        <w:t>Le groupement pourra prendre la forme soit d’un groupement conjoint, soit d’un groupement solidaire.</w:t>
      </w:r>
    </w:p>
    <w:p w:rsidR="00C96EBF" w:rsidRPr="00C0467B" w:rsidRDefault="00C96EBF" w:rsidP="00E137A6">
      <w:pPr>
        <w:jc w:val="both"/>
      </w:pPr>
      <w:r w:rsidRPr="00C0467B">
        <w:t>Quelle que soit la forme juridique du groupement retenue par l</w:t>
      </w:r>
      <w:r w:rsidR="00E137A6" w:rsidRPr="00C0467B">
        <w:t xml:space="preserve">es candidats, la composition du </w:t>
      </w:r>
      <w:r w:rsidRPr="00C0467B">
        <w:t>groupement devra être détaillée et l’un des opérateurs économ</w:t>
      </w:r>
      <w:r w:rsidR="00E137A6" w:rsidRPr="00C0467B">
        <w:t xml:space="preserve">iques membre du groupement sera </w:t>
      </w:r>
      <w:r w:rsidRPr="00C0467B">
        <w:t>désigné comme mandataire. Ce mandataire représentera l’ensemble d</w:t>
      </w:r>
      <w:r w:rsidR="00E137A6" w:rsidRPr="00C0467B">
        <w:t>es membres du groupement vis-à-</w:t>
      </w:r>
      <w:r w:rsidRPr="00C0467B">
        <w:t>vis de l’acheteur et coordonnera les prestations des membres du groupement.</w:t>
      </w:r>
    </w:p>
    <w:p w:rsidR="00C96EBF" w:rsidRPr="00C0467B" w:rsidRDefault="00C96EBF" w:rsidP="00E137A6">
      <w:pPr>
        <w:jc w:val="both"/>
      </w:pPr>
      <w:r w:rsidRPr="00C0467B">
        <w:t>Un même opérateur économique ne peut pas être mandataire de pl</w:t>
      </w:r>
      <w:r w:rsidR="00E137A6" w:rsidRPr="00C0467B">
        <w:t xml:space="preserve">us d’un groupement pour un même </w:t>
      </w:r>
      <w:r w:rsidRPr="00C0467B">
        <w:t>marché public.</w:t>
      </w:r>
    </w:p>
    <w:p w:rsidR="00C96EBF" w:rsidRPr="00C0467B" w:rsidRDefault="00C96EBF" w:rsidP="00E137A6">
      <w:pPr>
        <w:jc w:val="both"/>
      </w:pPr>
      <w:r w:rsidRPr="00C0467B">
        <w:t>Conformément aux dispositions de l’article R. 2142-26 du code de la co</w:t>
      </w:r>
      <w:r w:rsidR="00E137A6" w:rsidRPr="00C0467B">
        <w:t xml:space="preserve">mmande publique, la composition </w:t>
      </w:r>
      <w:r w:rsidRPr="00C0467B">
        <w:t>du groupement ne pourra pas être modifiée entre la date de remise</w:t>
      </w:r>
      <w:r w:rsidR="00E137A6" w:rsidRPr="00C0467B">
        <w:t xml:space="preserve"> des candidatures et la date de </w:t>
      </w:r>
      <w:r w:rsidRPr="00C0467B">
        <w:t>signature du marché.</w:t>
      </w:r>
    </w:p>
    <w:p w:rsidR="00C96EBF" w:rsidRDefault="00C96EBF" w:rsidP="00E137A6">
      <w:pPr>
        <w:jc w:val="both"/>
      </w:pPr>
      <w:r>
        <w:t>Il pourra cependant être dérogé à ce principe en cas d’opération de restru</w:t>
      </w:r>
      <w:r w:rsidR="00E137A6">
        <w:t xml:space="preserve">cturation de société, notamment </w:t>
      </w:r>
      <w:r>
        <w:t xml:space="preserve">de rachat, de fusion ou d’acquisition touchant l’un des membres du </w:t>
      </w:r>
      <w:r w:rsidR="00E137A6">
        <w:t xml:space="preserve">groupement ou, si le groupement </w:t>
      </w:r>
      <w:r>
        <w:t>apporte la preuve qu’un de ses membres se trouve dans l’impossibilit</w:t>
      </w:r>
      <w:r w:rsidR="00E137A6">
        <w:t xml:space="preserve">é d’accomplir sa tâche pour des </w:t>
      </w:r>
      <w:r>
        <w:t>raisons qui ne sont pas de son fait. Le groupement pourra alors demander</w:t>
      </w:r>
      <w:r w:rsidR="00E137A6">
        <w:t xml:space="preserve"> à l’acheteur l’autorisation de </w:t>
      </w:r>
      <w:r>
        <w:t xml:space="preserve">continuer à participer à la procédure de passation en proposant, le </w:t>
      </w:r>
      <w:r w:rsidR="00E137A6">
        <w:t xml:space="preserve">cas échéant, à l’acceptation de </w:t>
      </w:r>
      <w:r>
        <w:t>l’acheteur, un ou plusieurs nouveaux membres du groupement, sous-traitants ou entreprises liées.</w:t>
      </w:r>
    </w:p>
    <w:p w:rsidR="00C96EBF" w:rsidRDefault="00C96EBF" w:rsidP="00E137A6">
      <w:pPr>
        <w:jc w:val="both"/>
      </w:pPr>
      <w:r>
        <w:t>Dans le cadre de procédures incluant une ou plusieurs phases de négocia</w:t>
      </w:r>
      <w:r w:rsidR="00E137A6">
        <w:t xml:space="preserve">tion ou de dialogue, l'acheteur </w:t>
      </w:r>
      <w:r>
        <w:t>peut également autoriser le groupement qui en fait la demande à modi</w:t>
      </w:r>
      <w:r w:rsidR="00E137A6">
        <w:t xml:space="preserve">fier sa composition lorsque les </w:t>
      </w:r>
      <w:r>
        <w:t>conditions suivantes sont remplies :</w:t>
      </w:r>
    </w:p>
    <w:p w:rsidR="00C96EBF" w:rsidRDefault="00C96EBF" w:rsidP="00E137A6">
      <w:pPr>
        <w:jc w:val="both"/>
      </w:pPr>
      <w:r>
        <w:t>1° Le groupement dispose des garanties économiques, financières, techniq</w:t>
      </w:r>
      <w:r w:rsidR="00E137A6">
        <w:t xml:space="preserve">ues et professionnelles exigées </w:t>
      </w:r>
      <w:r>
        <w:t>par l'acheteur pour participer à la procédure ;</w:t>
      </w:r>
    </w:p>
    <w:p w:rsidR="00C96EBF" w:rsidRDefault="00C96EBF" w:rsidP="00E137A6">
      <w:pPr>
        <w:jc w:val="both"/>
      </w:pPr>
      <w:r>
        <w:lastRenderedPageBreak/>
        <w:t>2° Cette modification ne porte pas atteinte au principe d'égalité de tr</w:t>
      </w:r>
      <w:r w:rsidR="00E137A6">
        <w:t xml:space="preserve">aitement des candidats ni à une </w:t>
      </w:r>
      <w:r>
        <w:t>concurrence effective entre ceux-ci.</w:t>
      </w:r>
    </w:p>
    <w:p w:rsidR="00C96EBF" w:rsidRDefault="00C96EBF" w:rsidP="00E137A6">
      <w:pPr>
        <w:jc w:val="both"/>
      </w:pPr>
      <w:r>
        <w:t>L’acheteur se prononcera sur la recevabilité de cette demande après exam</w:t>
      </w:r>
      <w:r w:rsidR="00E137A6">
        <w:t xml:space="preserve">en de la capacité de l’ensemble </w:t>
      </w:r>
      <w:r>
        <w:t>des membres du groupement ainsi transformé et, le cas échéant, des sous</w:t>
      </w:r>
      <w:r w:rsidR="00E137A6">
        <w:t xml:space="preserve">-traitants et entreprises liées </w:t>
      </w:r>
      <w:r>
        <w:t>présentées à son acceptation, au regard des conditions de participation qu’il a définies.</w:t>
      </w:r>
    </w:p>
    <w:p w:rsidR="00C96EBF" w:rsidRDefault="00C96EBF" w:rsidP="00E137A6">
      <w:pPr>
        <w:jc w:val="both"/>
      </w:pPr>
      <w:r>
        <w:t>Les opérateurs économiques ne sont pas autorisés à candidater en agissant à</w:t>
      </w:r>
      <w:r w:rsidR="00E137A6">
        <w:t xml:space="preserve"> la fois en qualité de candidat </w:t>
      </w:r>
      <w:r>
        <w:t>individuel et de membre d'un groupement. Les opérateurs écon</w:t>
      </w:r>
      <w:r w:rsidR="00E137A6">
        <w:t xml:space="preserve">omiques ne sont pas autorisés à </w:t>
      </w:r>
      <w:r>
        <w:t>candidater en qualité de membres de plusieurs groupements.</w:t>
      </w:r>
    </w:p>
    <w:p w:rsidR="00C96EBF" w:rsidRPr="00E701F1" w:rsidRDefault="00C96EBF" w:rsidP="00956B50">
      <w:pPr>
        <w:pStyle w:val="Titre1"/>
      </w:pPr>
      <w:bookmarkStart w:id="5" w:name="_Toc194484539"/>
      <w:r w:rsidRPr="00E701F1">
        <w:t>ARTICLE 5. PRÉSENTATION DE L’OFFRE</w:t>
      </w:r>
      <w:bookmarkEnd w:id="5"/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5.1. Présentation du dossier d’offre</w:t>
      </w:r>
    </w:p>
    <w:p w:rsidR="00C96EBF" w:rsidRDefault="00C96EBF" w:rsidP="00E137A6">
      <w:pPr>
        <w:jc w:val="both"/>
      </w:pPr>
      <w:r>
        <w:t>Dans le cadre de son offre, le candidat devra produire les documents suivants.</w:t>
      </w:r>
    </w:p>
    <w:p w:rsidR="00C96EBF" w:rsidRDefault="00C96EBF" w:rsidP="00E137A6">
      <w:pPr>
        <w:jc w:val="both"/>
      </w:pPr>
      <w:r>
        <w:t>Si ceux-ci ne sont pas remis en français, une traduction des documents devra être jointe au dossier d’offre.</w:t>
      </w:r>
    </w:p>
    <w:p w:rsidR="00C96EBF" w:rsidRPr="00382E38" w:rsidRDefault="00C96EBF" w:rsidP="00E137A6">
      <w:pPr>
        <w:jc w:val="both"/>
      </w:pPr>
      <w:r>
        <w:t xml:space="preserve">N° </w:t>
      </w:r>
      <w:r w:rsidRPr="00382E38">
        <w:t>Description</w:t>
      </w:r>
    </w:p>
    <w:p w:rsidR="00C96EBF" w:rsidRDefault="00382E38" w:rsidP="00E137A6">
      <w:pPr>
        <w:jc w:val="both"/>
      </w:pPr>
      <w:r w:rsidRPr="00382E38">
        <w:t>1</w:t>
      </w:r>
      <w:r w:rsidR="00E137A6">
        <w:t xml:space="preserve"> Le relevé d’identité bancaire</w:t>
      </w:r>
    </w:p>
    <w:p w:rsidR="00C96EBF" w:rsidRDefault="00382E38" w:rsidP="00E137A6">
      <w:pPr>
        <w:jc w:val="both"/>
      </w:pPr>
      <w:r>
        <w:t>2</w:t>
      </w:r>
      <w:r w:rsidR="00E137A6">
        <w:t xml:space="preserve"> </w:t>
      </w:r>
      <w:r w:rsidR="00C96EBF">
        <w:t>Le mémoire technique</w:t>
      </w:r>
    </w:p>
    <w:p w:rsidR="00C96EBF" w:rsidRDefault="00C96EBF" w:rsidP="00E137A6">
      <w:pPr>
        <w:jc w:val="both"/>
      </w:pPr>
      <w:r>
        <w:t>Il présentera les dispositions que l'entreprise se propose d'ado</w:t>
      </w:r>
      <w:r w:rsidR="00E137A6">
        <w:t>p</w:t>
      </w:r>
      <w:r w:rsidR="007476C7">
        <w:t xml:space="preserve">ter pour l'exécution du marché </w:t>
      </w:r>
      <w:r>
        <w:t>en indiquant : fiches techniques ; méthodologie d’inte</w:t>
      </w:r>
      <w:r w:rsidR="00E137A6">
        <w:t xml:space="preserve">rvention ; </w:t>
      </w:r>
      <w:r>
        <w:t>moyens humains et matériels ; garanties</w:t>
      </w:r>
      <w:r w:rsidR="00E137A6">
        <w:t>.</w:t>
      </w:r>
    </w:p>
    <w:p w:rsidR="00C96EBF" w:rsidRDefault="00382E38" w:rsidP="00E137A6">
      <w:pPr>
        <w:jc w:val="both"/>
      </w:pPr>
      <w:r>
        <w:t>3</w:t>
      </w:r>
      <w:r w:rsidR="00C96EBF">
        <w:t xml:space="preserve"> Les déclarations de sous-traitances nécessaires le cas échéant</w:t>
      </w:r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5.2. Variantes</w:t>
      </w:r>
    </w:p>
    <w:p w:rsidR="00C96EBF" w:rsidRDefault="00C96EBF" w:rsidP="00E137A6">
      <w:pPr>
        <w:jc w:val="both"/>
      </w:pPr>
      <w:r>
        <w:t>La présentation de variantes à l'initiative du soumissionnaire n'est pas autorisée.</w:t>
      </w:r>
    </w:p>
    <w:p w:rsidR="00C96EBF" w:rsidRDefault="00C96EBF" w:rsidP="00E137A6">
      <w:pPr>
        <w:jc w:val="both"/>
      </w:pPr>
      <w:r>
        <w:t>Aucune variante n'est prévue par l’acheteur.</w:t>
      </w:r>
    </w:p>
    <w:p w:rsidR="00C96EBF" w:rsidRDefault="00C96EBF" w:rsidP="00E137A6">
      <w:pPr>
        <w:jc w:val="both"/>
      </w:pPr>
      <w:r>
        <w:t xml:space="preserve">L’offre doit être conforme aux pièces </w:t>
      </w:r>
      <w:r w:rsidR="00E137A6">
        <w:t>de la commande</w:t>
      </w:r>
    </w:p>
    <w:p w:rsidR="00C96EBF" w:rsidRDefault="00C96EBF" w:rsidP="00E137A6">
      <w:pPr>
        <w:jc w:val="both"/>
      </w:pPr>
      <w:r>
        <w:t>En cas de présentation d’une variante, seule l’offre de base sera prise en compte.</w:t>
      </w:r>
    </w:p>
    <w:p w:rsidR="00C96EBF" w:rsidRDefault="00C96EBF" w:rsidP="00E137A6">
      <w:pPr>
        <w:jc w:val="both"/>
      </w:pPr>
      <w:r>
        <w:t>5.3. Prestations supplémentaires éventuelles</w:t>
      </w:r>
    </w:p>
    <w:p w:rsidR="00C96EBF" w:rsidRDefault="007476C7" w:rsidP="00E137A6">
      <w:pPr>
        <w:jc w:val="both"/>
      </w:pPr>
      <w:r>
        <w:t xml:space="preserve">Le marché </w:t>
      </w:r>
      <w:r w:rsidR="00C96EBF">
        <w:t>ne comporte aucune prestation supplémentaire éventuelle facultative ou obligatoire.</w:t>
      </w:r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5.4. Délai de validité</w:t>
      </w:r>
    </w:p>
    <w:p w:rsidR="00C96EBF" w:rsidRDefault="00C96EBF" w:rsidP="00E137A6">
      <w:pPr>
        <w:jc w:val="both"/>
      </w:pPr>
      <w:r>
        <w:t>Le candidat reste lié par son offre pendant un délai de 3 mois calendaires,</w:t>
      </w:r>
      <w:r w:rsidR="00E137A6">
        <w:t xml:space="preserve"> à compter de la date limite de </w:t>
      </w:r>
      <w:r>
        <w:t>présentation des offres.</w:t>
      </w:r>
    </w:p>
    <w:p w:rsidR="008C7217" w:rsidRDefault="008C7217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C96EBF" w:rsidRPr="00E701F1" w:rsidRDefault="00C96EBF" w:rsidP="00956B50">
      <w:pPr>
        <w:pStyle w:val="Titre1"/>
      </w:pPr>
      <w:bookmarkStart w:id="6" w:name="_Toc194484540"/>
      <w:r w:rsidRPr="00E701F1">
        <w:lastRenderedPageBreak/>
        <w:t>ARTICLE 6. CRITÈRES D’ATTRIBUTION ET CHOIX DE L’OFFRE</w:t>
      </w:r>
      <w:bookmarkEnd w:id="6"/>
    </w:p>
    <w:p w:rsidR="00C96EBF" w:rsidRDefault="00C96EBF" w:rsidP="00E137A6">
      <w:pPr>
        <w:jc w:val="both"/>
      </w:pPr>
      <w:r>
        <w:t>L’acheteur attribue l'accord-cadre au soumissionnaire ayant présenté</w:t>
      </w:r>
      <w:r w:rsidR="00E137A6">
        <w:t xml:space="preserve"> l'offre économiquement la plus </w:t>
      </w:r>
      <w:r>
        <w:t>avantageuse en se fondant sur une pluralité de critères.</w:t>
      </w:r>
    </w:p>
    <w:p w:rsidR="00876943" w:rsidRDefault="00C96EBF" w:rsidP="00E137A6">
      <w:pPr>
        <w:jc w:val="both"/>
      </w:pPr>
      <w:r>
        <w:t>Les critères listés ci-dessous s'appliquent pour l</w:t>
      </w:r>
      <w:r w:rsidR="00876943">
        <w:t>'attribution de la commande</w:t>
      </w:r>
    </w:p>
    <w:p w:rsidR="00C96EBF" w:rsidRDefault="00C96EBF" w:rsidP="00E137A6">
      <w:pPr>
        <w:jc w:val="both"/>
      </w:pPr>
      <w:r>
        <w:t>N° Description Pondération</w:t>
      </w:r>
    </w:p>
    <w:p w:rsidR="00C96EBF" w:rsidRDefault="00C96EBF" w:rsidP="00E137A6">
      <w:pPr>
        <w:jc w:val="both"/>
      </w:pPr>
      <w:r>
        <w:t>1 Valeur technique 60</w:t>
      </w:r>
    </w:p>
    <w:p w:rsidR="00C96EBF" w:rsidRPr="0012299F" w:rsidRDefault="00C96EBF" w:rsidP="00E137A6">
      <w:pPr>
        <w:jc w:val="both"/>
      </w:pPr>
      <w:r w:rsidRPr="00956B50">
        <w:t>Jug</w:t>
      </w:r>
      <w:r w:rsidRPr="0012299F">
        <w:t>é sur le mémoire technique et comprenant notamme</w:t>
      </w:r>
      <w:r w:rsidR="00E137A6" w:rsidRPr="0012299F">
        <w:t xml:space="preserve">nt l'organisation pour la bonne </w:t>
      </w:r>
      <w:r w:rsidRPr="0012299F">
        <w:t>exécution des prestations</w:t>
      </w:r>
      <w:r w:rsidR="00C0467B" w:rsidRPr="0012299F">
        <w:t xml:space="preserve">. </w:t>
      </w:r>
    </w:p>
    <w:p w:rsidR="00C0467B" w:rsidRPr="0012299F" w:rsidRDefault="00382E38" w:rsidP="00C0467B">
      <w:pPr>
        <w:pStyle w:val="Paragraphedeliste"/>
        <w:numPr>
          <w:ilvl w:val="0"/>
          <w:numId w:val="2"/>
        </w:numPr>
        <w:jc w:val="both"/>
      </w:pPr>
      <w:r w:rsidRPr="0012299F">
        <w:t>/20 Moyens humains affectés à la mission (nombre de personnes</w:t>
      </w:r>
      <w:r w:rsidR="0012299F">
        <w:t xml:space="preserve"> de la</w:t>
      </w:r>
      <w:r w:rsidRPr="0012299F">
        <w:t xml:space="preserve"> structure, compétences, expérience)</w:t>
      </w:r>
    </w:p>
    <w:p w:rsidR="00382E38" w:rsidRPr="0012299F" w:rsidRDefault="00382E38" w:rsidP="00C0467B">
      <w:pPr>
        <w:pStyle w:val="Paragraphedeliste"/>
        <w:numPr>
          <w:ilvl w:val="0"/>
          <w:numId w:val="2"/>
        </w:numPr>
        <w:jc w:val="both"/>
      </w:pPr>
      <w:r w:rsidRPr="0012299F">
        <w:t>/35 organisation et méthodologie (matériel, outils informatiques, adaptation de l’offre au contexte local, Nombre jours terrain, rendu cartographique et documentaire, éventuelles proposition supplémentaires au CCTP)</w:t>
      </w:r>
    </w:p>
    <w:p w:rsidR="00C0467B" w:rsidRPr="0012299F" w:rsidRDefault="00382E38" w:rsidP="00382E38">
      <w:pPr>
        <w:pStyle w:val="Paragraphedeliste"/>
        <w:numPr>
          <w:ilvl w:val="0"/>
          <w:numId w:val="2"/>
        </w:numPr>
        <w:jc w:val="both"/>
      </w:pPr>
      <w:r w:rsidRPr="0012299F">
        <w:t>/15 Planning (durée de l’étude et nombre de réunions, organisation et phasage de l’étude)</w:t>
      </w:r>
    </w:p>
    <w:p w:rsidR="00C0467B" w:rsidRDefault="00382E38" w:rsidP="00382E38">
      <w:pPr>
        <w:jc w:val="both"/>
      </w:pPr>
      <w:r>
        <w:t xml:space="preserve">Le total des points sur 70 sera </w:t>
      </w:r>
      <w:r w:rsidR="0012299F">
        <w:t>rapporté</w:t>
      </w:r>
      <w:r>
        <w:t xml:space="preserve"> au prorata sur 60 points</w:t>
      </w:r>
    </w:p>
    <w:p w:rsidR="00C96EBF" w:rsidRDefault="00C96EBF" w:rsidP="00E137A6">
      <w:pPr>
        <w:jc w:val="both"/>
      </w:pPr>
      <w:r>
        <w:t>2 Prix 40</w:t>
      </w:r>
    </w:p>
    <w:p w:rsidR="00C96EBF" w:rsidRDefault="00C96EBF" w:rsidP="00E137A6">
      <w:pPr>
        <w:jc w:val="both"/>
      </w:pPr>
      <w:r>
        <w:t>Règle de trois; Note offre = (prix de l’offre la plus basse / pr</w:t>
      </w:r>
      <w:r w:rsidR="00E137A6">
        <w:t xml:space="preserve">ix de l’offre) * pondération du </w:t>
      </w:r>
      <w:r>
        <w:t>critère prix</w:t>
      </w:r>
    </w:p>
    <w:p w:rsidR="00C96EBF" w:rsidRDefault="00C96EBF" w:rsidP="00E137A6">
      <w:pPr>
        <w:jc w:val="both"/>
      </w:pPr>
      <w:r>
        <w:t>Si une offre lui paraît anormalement basse, l’acheteur demandera au</w:t>
      </w:r>
      <w:r w:rsidR="00E137A6">
        <w:t xml:space="preserve"> soumissionnaire d'apporter les </w:t>
      </w:r>
      <w:r>
        <w:t>précisions et justifications permettant de démontrer que l'offre présentée n'est pas anormalemen</w:t>
      </w:r>
      <w:r w:rsidR="00E137A6">
        <w:t xml:space="preserve">t basse, </w:t>
      </w:r>
      <w:r>
        <w:t>en application des articles L. 2152-5 à L. 2152-6 et R. 2152-3 à R</w:t>
      </w:r>
      <w:r w:rsidR="00E137A6">
        <w:t xml:space="preserve">. 2152-5 du code de la commande </w:t>
      </w:r>
      <w:r>
        <w:t>publique.</w:t>
      </w:r>
    </w:p>
    <w:p w:rsidR="00C96EBF" w:rsidRDefault="00C96EBF" w:rsidP="00E137A6">
      <w:pPr>
        <w:jc w:val="both"/>
      </w:pPr>
      <w:r>
        <w:t>Si les éléments produits par le soumissionnaire ne permettent pas de justif</w:t>
      </w:r>
      <w:r w:rsidR="00E137A6">
        <w:t xml:space="preserve">ier de manière satisfaisante le </w:t>
      </w:r>
      <w:r>
        <w:t>bas niveau des prix proposés ou si le soumissionnaire se trouve dans l'un d</w:t>
      </w:r>
      <w:r w:rsidR="00E137A6">
        <w:t xml:space="preserve">es cas précisés aux articles R. </w:t>
      </w:r>
      <w:r>
        <w:t>2152-4 ou R. 2152-5 du code de la commande publique, son offre est rejetée.</w:t>
      </w:r>
    </w:p>
    <w:p w:rsidR="00C96EBF" w:rsidRPr="00E701F1" w:rsidRDefault="00C96EBF" w:rsidP="00956B50">
      <w:pPr>
        <w:pStyle w:val="Titre1"/>
      </w:pPr>
      <w:bookmarkStart w:id="7" w:name="_Toc194484541"/>
      <w:r w:rsidRPr="00E701F1">
        <w:t>ARTICLE 7. MODALITÉS DE REMISE DES PLIS</w:t>
      </w:r>
      <w:bookmarkEnd w:id="7"/>
    </w:p>
    <w:p w:rsidR="00C96EBF" w:rsidRDefault="00C96EBF" w:rsidP="00E137A6">
      <w:pPr>
        <w:jc w:val="both"/>
      </w:pPr>
      <w:r>
        <w:t>Les plis doivent être remis au plus tard à la date et l’heure mentionn</w:t>
      </w:r>
      <w:r w:rsidR="00E137A6">
        <w:t xml:space="preserve">ées en page de garde du présent </w:t>
      </w:r>
      <w:r>
        <w:t>document. Les plis déposés postérieurement seront considérés comme étant hors délai.</w:t>
      </w:r>
    </w:p>
    <w:p w:rsidR="00C96EBF" w:rsidRDefault="00C96EBF" w:rsidP="00E137A6">
      <w:pPr>
        <w:jc w:val="both"/>
      </w:pPr>
      <w:r>
        <w:t>Conformément aux articles R.2132-7 et R.2132-8 du Code de la c</w:t>
      </w:r>
      <w:r w:rsidR="00E137A6">
        <w:t xml:space="preserve">ommande publique, les candidats </w:t>
      </w:r>
      <w:r>
        <w:t>devront obligatoirement transmettre leurs propositions de manière électronique.</w:t>
      </w:r>
    </w:p>
    <w:p w:rsidR="00C96EBF" w:rsidRDefault="00C96EBF" w:rsidP="00E137A6">
      <w:pPr>
        <w:jc w:val="both"/>
      </w:pPr>
      <w:r>
        <w:t>Transmission par voie électronique : Les candidats devront tenir compte des</w:t>
      </w:r>
      <w:r w:rsidR="00E137A6">
        <w:t xml:space="preserve"> indications suivantes, afin de </w:t>
      </w:r>
      <w:r>
        <w:t>garantir au mieux le bon déroulement de cette procédure dématérialisée.</w:t>
      </w:r>
    </w:p>
    <w:p w:rsidR="00C96EBF" w:rsidRDefault="00C96EBF" w:rsidP="00E137A6">
      <w:pPr>
        <w:jc w:val="both"/>
      </w:pPr>
      <w:r>
        <w:t>La plate-forme de dématérialisation à utiliser pour la remise des offres est la suivante :</w:t>
      </w:r>
    </w:p>
    <w:p w:rsidR="00C96EBF" w:rsidRDefault="00C96EBF" w:rsidP="00E137A6">
      <w:pPr>
        <w:jc w:val="both"/>
      </w:pPr>
      <w:r>
        <w:t>https://www.marches-securises.fr/</w:t>
      </w:r>
    </w:p>
    <w:p w:rsidR="00C96EBF" w:rsidRDefault="00C96EBF" w:rsidP="00E137A6">
      <w:pPr>
        <w:jc w:val="both"/>
      </w:pPr>
      <w:r>
        <w:t>La liste des formats de fichiers acceptés est la suivante :</w:t>
      </w:r>
    </w:p>
    <w:p w:rsidR="00C96EBF" w:rsidRDefault="00C96EBF" w:rsidP="00876943">
      <w:pPr>
        <w:spacing w:after="0"/>
        <w:jc w:val="both"/>
      </w:pPr>
      <w:r>
        <w:t>- Portable Document Format (Adobe .</w:t>
      </w:r>
      <w:proofErr w:type="spellStart"/>
      <w:r>
        <w:t>pdf</w:t>
      </w:r>
      <w:proofErr w:type="spellEnd"/>
      <w:r>
        <w:t>),</w:t>
      </w:r>
    </w:p>
    <w:p w:rsidR="00C96EBF" w:rsidRDefault="00C96EBF" w:rsidP="00876943">
      <w:pPr>
        <w:spacing w:after="0"/>
        <w:jc w:val="both"/>
      </w:pPr>
      <w:r>
        <w:t xml:space="preserve">- Rich </w:t>
      </w:r>
      <w:proofErr w:type="spellStart"/>
      <w:r>
        <w:t>Text</w:t>
      </w:r>
      <w:proofErr w:type="spellEnd"/>
      <w:r>
        <w:t xml:space="preserve"> Format (.</w:t>
      </w:r>
      <w:proofErr w:type="spellStart"/>
      <w:r>
        <w:t>rtf</w:t>
      </w:r>
      <w:proofErr w:type="spellEnd"/>
      <w:r>
        <w:t>),</w:t>
      </w:r>
    </w:p>
    <w:p w:rsidR="00C96EBF" w:rsidRDefault="00C96EBF" w:rsidP="00876943">
      <w:pPr>
        <w:spacing w:after="0"/>
        <w:jc w:val="both"/>
      </w:pPr>
      <w:r>
        <w:lastRenderedPageBreak/>
        <w:t>- Compressés (exemples d’extensions : .zip, .</w:t>
      </w:r>
      <w:proofErr w:type="spellStart"/>
      <w:r>
        <w:t>rar</w:t>
      </w:r>
      <w:proofErr w:type="spellEnd"/>
      <w:r>
        <w:t>),</w:t>
      </w:r>
    </w:p>
    <w:p w:rsidR="00C96EBF" w:rsidRDefault="00C96EBF" w:rsidP="00876943">
      <w:pPr>
        <w:spacing w:after="0"/>
        <w:jc w:val="both"/>
      </w:pPr>
      <w:r>
        <w:t>- Applications bureautiques (exemples d’extensions : .doc, .</w:t>
      </w:r>
      <w:proofErr w:type="spellStart"/>
      <w:r>
        <w:t>xls</w:t>
      </w:r>
      <w:proofErr w:type="spellEnd"/>
      <w:r>
        <w:t>, .</w:t>
      </w:r>
      <w:proofErr w:type="spellStart"/>
      <w:r>
        <w:t>pwt</w:t>
      </w:r>
      <w:proofErr w:type="spellEnd"/>
      <w:r>
        <w:t>, .pub, .</w:t>
      </w:r>
      <w:proofErr w:type="spellStart"/>
      <w:r>
        <w:t>mdb</w:t>
      </w:r>
      <w:proofErr w:type="spellEnd"/>
      <w:r>
        <w:t>),</w:t>
      </w:r>
    </w:p>
    <w:p w:rsidR="00C96EBF" w:rsidRDefault="00C96EBF" w:rsidP="00876943">
      <w:pPr>
        <w:spacing w:after="0"/>
        <w:jc w:val="both"/>
      </w:pPr>
      <w:r>
        <w:t xml:space="preserve">- Multimédias (exemples d’extensions : </w:t>
      </w:r>
      <w:proofErr w:type="spellStart"/>
      <w:r>
        <w:t>gif</w:t>
      </w:r>
      <w:proofErr w:type="spellEnd"/>
      <w:r>
        <w:t>, .</w:t>
      </w:r>
      <w:proofErr w:type="spellStart"/>
      <w:r>
        <w:t>jpg</w:t>
      </w:r>
      <w:proofErr w:type="spellEnd"/>
      <w:r>
        <w:t>, .</w:t>
      </w:r>
      <w:proofErr w:type="spellStart"/>
      <w:r>
        <w:t>png</w:t>
      </w:r>
      <w:proofErr w:type="spellEnd"/>
      <w:r>
        <w:t>).</w:t>
      </w:r>
    </w:p>
    <w:p w:rsidR="00876943" w:rsidRDefault="00876943" w:rsidP="00876943">
      <w:pPr>
        <w:spacing w:after="0"/>
        <w:jc w:val="both"/>
      </w:pPr>
    </w:p>
    <w:p w:rsidR="00876943" w:rsidRDefault="00876943" w:rsidP="00876943">
      <w:pPr>
        <w:spacing w:after="0"/>
        <w:jc w:val="both"/>
      </w:pPr>
    </w:p>
    <w:p w:rsidR="00C96EBF" w:rsidRDefault="00C96EBF" w:rsidP="00E137A6">
      <w:pPr>
        <w:jc w:val="both"/>
      </w:pPr>
      <w:r>
        <w:t>Les documents nécessitant une signature, transmis par voie dématérialisé</w:t>
      </w:r>
      <w:r w:rsidR="00E137A6">
        <w:t xml:space="preserve">e, sont signés individuellement </w:t>
      </w:r>
      <w:r>
        <w:t>par le candidat au moyen d’un certificat de signature électronique con</w:t>
      </w:r>
      <w:r w:rsidR="00E137A6">
        <w:t xml:space="preserve">forme au format </w:t>
      </w:r>
      <w:proofErr w:type="spellStart"/>
      <w:r w:rsidR="00E137A6">
        <w:t>XAdES</w:t>
      </w:r>
      <w:proofErr w:type="spellEnd"/>
      <w:r w:rsidR="00E137A6">
        <w:t xml:space="preserve">, </w:t>
      </w:r>
      <w:proofErr w:type="spellStart"/>
      <w:r w:rsidR="00E137A6">
        <w:t>CAdES</w:t>
      </w:r>
      <w:proofErr w:type="spellEnd"/>
      <w:r w:rsidR="00E137A6">
        <w:t xml:space="preserve"> ou </w:t>
      </w:r>
      <w:proofErr w:type="spellStart"/>
      <w:r>
        <w:t>PAdES</w:t>
      </w:r>
      <w:proofErr w:type="spellEnd"/>
      <w:r>
        <w:t>. Les certificats de type RGS peuvent encore être utilisés après le 1e</w:t>
      </w:r>
      <w:r w:rsidR="00E137A6">
        <w:t xml:space="preserve">r octobre 2018 pour le temps de </w:t>
      </w:r>
      <w:r>
        <w:t>leur validité.</w:t>
      </w:r>
    </w:p>
    <w:p w:rsidR="00C96EBF" w:rsidRDefault="00C96EBF" w:rsidP="00E137A6">
      <w:pPr>
        <w:jc w:val="both"/>
      </w:pPr>
      <w:r>
        <w:t>Si l’offre n’est pas signée électroniquement au moment de la réponse, la si</w:t>
      </w:r>
      <w:r w:rsidR="00E137A6">
        <w:t xml:space="preserve">gnature électronique sera alors </w:t>
      </w:r>
      <w:r>
        <w:t>exigée au stade de l’attribution du marché.</w:t>
      </w:r>
    </w:p>
    <w:p w:rsidR="002C1246" w:rsidRDefault="00C96EBF" w:rsidP="00E137A6">
      <w:pPr>
        <w:jc w:val="both"/>
      </w:pPr>
      <w:r>
        <w:t>Les frais d’accès au réseau et de recours à la signature électronique sont à la charge de chaque candidat.</w:t>
      </w:r>
    </w:p>
    <w:p w:rsidR="002C1246" w:rsidRPr="008C7217" w:rsidRDefault="008C7217" w:rsidP="00956B50">
      <w:pPr>
        <w:pStyle w:val="Titre1"/>
      </w:pPr>
      <w:bookmarkStart w:id="8" w:name="_Toc194484542"/>
      <w:r w:rsidRPr="008C7217">
        <w:t>ARTICLE 8 : POSSIBILITE DE NEGOCIATION</w:t>
      </w:r>
      <w:bookmarkEnd w:id="8"/>
    </w:p>
    <w:p w:rsidR="008C7217" w:rsidRDefault="008C7217" w:rsidP="008C7217">
      <w:pPr>
        <w:jc w:val="both"/>
      </w:pPr>
      <w:r>
        <w:t>Conformément à l’article R2123.5 du code de la commande publique, une phase de négociation est prévue. Les modalités seront les suivantes :</w:t>
      </w:r>
    </w:p>
    <w:p w:rsidR="008C7217" w:rsidRDefault="008C7217" w:rsidP="008C7217">
      <w:pPr>
        <w:jc w:val="both"/>
      </w:pPr>
      <w:r>
        <w:t xml:space="preserve">Une phase de négociation sera menée </w:t>
      </w:r>
      <w:r w:rsidRPr="008C7217">
        <w:t>avec le(s) soumissionnaire(s) ayant présenté les 3 offres les mieux classées au vu des</w:t>
      </w:r>
      <w:r>
        <w:t xml:space="preserve"> </w:t>
      </w:r>
      <w:r w:rsidRPr="008C7217">
        <w:t>critères de jugement des offres.</w:t>
      </w:r>
    </w:p>
    <w:p w:rsidR="008C7217" w:rsidRDefault="008C7217" w:rsidP="008C7217">
      <w:pPr>
        <w:jc w:val="both"/>
      </w:pPr>
      <w:r>
        <w:t>Les offres non admises aux négociations sont éliminées. Il est bien précisé qu’un rapport d’analyse des offres avant négociation a été réalisé avec un classement de toutes les offres en appliquant les critères de jugement des offres.</w:t>
      </w:r>
    </w:p>
    <w:p w:rsidR="008C7217" w:rsidRDefault="008C7217" w:rsidP="008C7217">
      <w:pPr>
        <w:jc w:val="both"/>
      </w:pPr>
      <w:r>
        <w:t>Les offres inappropriées seront éliminées et non négociables, conformément à l’article R2152.1 du code de la commande publique.</w:t>
      </w:r>
    </w:p>
    <w:p w:rsidR="008C7217" w:rsidRDefault="008C7217" w:rsidP="008C7217">
      <w:pPr>
        <w:jc w:val="both"/>
      </w:pPr>
      <w:r>
        <w:t xml:space="preserve">Les négociations se feront par échange électronique (mail) et si besoin par une rencontre avec chacun des candidats </w:t>
      </w:r>
      <w:r w:rsidRPr="008C7217">
        <w:t>admis aux négociations</w:t>
      </w:r>
      <w:r>
        <w:t>.</w:t>
      </w:r>
    </w:p>
    <w:p w:rsidR="008C7217" w:rsidRDefault="008C7217" w:rsidP="008C7217">
      <w:pPr>
        <w:jc w:val="both"/>
      </w:pPr>
      <w:r>
        <w:t>Les discussions pourront porter sur les aspects techniques, financiers ou méthodologiques.</w:t>
      </w:r>
    </w:p>
    <w:p w:rsidR="008C7217" w:rsidRDefault="008C7217" w:rsidP="008C7217">
      <w:pPr>
        <w:jc w:val="both"/>
      </w:pPr>
      <w:r>
        <w:t>A l’issue des négociations, les offres finales seront analysées sur la base des critères initiaux de sélection.</w:t>
      </w:r>
    </w:p>
    <w:p w:rsidR="008C7217" w:rsidRDefault="008C7217" w:rsidP="008C7217">
      <w:pPr>
        <w:jc w:val="both"/>
      </w:pPr>
      <w:r>
        <w:t>Le résultat des négociations sera formalisé à l’acte d’engagement (ATTRI1) signé avec le candidat retenu avant la notification du marché.</w:t>
      </w:r>
    </w:p>
    <w:p w:rsidR="008C7217" w:rsidRPr="008C7217" w:rsidRDefault="008C7217" w:rsidP="008C7217">
      <w:pPr>
        <w:jc w:val="both"/>
      </w:pPr>
      <w:r w:rsidRPr="008C7217">
        <w:rPr>
          <w:bCs/>
        </w:rPr>
        <w:t>Toutefois, l’acheteur se réserve la possibilité d’attribuer le marché public sur la base des offres initiales sans négociation.</w:t>
      </w:r>
    </w:p>
    <w:p w:rsidR="008C7217" w:rsidRPr="008C7217" w:rsidRDefault="008C7217" w:rsidP="00956B50">
      <w:pPr>
        <w:pStyle w:val="Titre1"/>
      </w:pPr>
      <w:bookmarkStart w:id="9" w:name="_Toc194484543"/>
      <w:r>
        <w:t>ARTICLE 9. ATTRIBUTION DU MARCHE</w:t>
      </w:r>
      <w:bookmarkEnd w:id="9"/>
    </w:p>
    <w:p w:rsidR="00C96EBF" w:rsidRDefault="00C96EBF" w:rsidP="00E137A6">
      <w:pPr>
        <w:jc w:val="both"/>
      </w:pPr>
      <w:r>
        <w:t>Au terme de la procédure, l’acheteur demandera à l’opérateur</w:t>
      </w:r>
      <w:r w:rsidR="001D7092">
        <w:t xml:space="preserve"> </w:t>
      </w:r>
      <w:r w:rsidR="001D7092" w:rsidRPr="00C0467B">
        <w:t xml:space="preserve">économique ou au mandataire du </w:t>
      </w:r>
      <w:r w:rsidRPr="00C0467B">
        <w:t xml:space="preserve">groupement d’opérateurs auquel il est envisagé d’attribuer </w:t>
      </w:r>
      <w:r w:rsidR="007476C7" w:rsidRPr="00C0467B">
        <w:t>le marché</w:t>
      </w:r>
      <w:r w:rsidRPr="00C0467B">
        <w:t xml:space="preserve"> de lui retourner :</w:t>
      </w:r>
    </w:p>
    <w:p w:rsidR="00C96EBF" w:rsidRDefault="00C96EBF" w:rsidP="00E137A6">
      <w:pPr>
        <w:jc w:val="both"/>
      </w:pPr>
      <w:r>
        <w:t>- L’acte d’engagement dûment rempli, daté et signé par la personne habilitée à engager la société.</w:t>
      </w:r>
    </w:p>
    <w:p w:rsidR="00C96EBF" w:rsidRDefault="00C96EBF" w:rsidP="00E137A6">
      <w:pPr>
        <w:jc w:val="both"/>
      </w:pPr>
      <w:r>
        <w:t>- Les attestations d’assurance reprises dans le CCAP</w:t>
      </w:r>
    </w:p>
    <w:p w:rsidR="00C96EBF" w:rsidRDefault="00C96EBF" w:rsidP="00E137A6">
      <w:pPr>
        <w:jc w:val="both"/>
      </w:pPr>
      <w:r>
        <w:lastRenderedPageBreak/>
        <w:t>- Les documents justificatifs visés aux articles R. 2143-6 à R. 2143-10 du C</w:t>
      </w:r>
      <w:r w:rsidR="001D7092">
        <w:t xml:space="preserve">ode de la commande publique. Le </w:t>
      </w:r>
      <w:r>
        <w:t>cas échéant, il sera fait application des articles R. 2143-13 et R.</w:t>
      </w:r>
      <w:r w:rsidR="001D7092">
        <w:t xml:space="preserve"> 2143-15 du Code de la commande </w:t>
      </w:r>
      <w:r>
        <w:t>publique.</w:t>
      </w:r>
    </w:p>
    <w:p w:rsidR="00C96EBF" w:rsidRDefault="00C96EBF" w:rsidP="00E137A6">
      <w:pPr>
        <w:jc w:val="both"/>
      </w:pPr>
      <w:r>
        <w:t xml:space="preserve">Lors de la conclusion de l'accord-cadre et tous les 6 mois jusqu'à la fin </w:t>
      </w:r>
      <w:r w:rsidR="001D7092">
        <w:t xml:space="preserve">de celui-ci, il sera demandé au </w:t>
      </w:r>
      <w:r>
        <w:t>titulaire de l'accord-cadre de fournir une attestation de vigilance afin de prouver qu'il respect</w:t>
      </w:r>
      <w:r w:rsidR="001D7092">
        <w:t xml:space="preserve">e les règles </w:t>
      </w:r>
      <w:r>
        <w:t>applicables en matière de lutte contre le travail dissimulé.</w:t>
      </w:r>
    </w:p>
    <w:p w:rsidR="00C96EBF" w:rsidRPr="00E701F1" w:rsidRDefault="00C96EBF" w:rsidP="00956B50">
      <w:pPr>
        <w:pStyle w:val="Titre1"/>
      </w:pPr>
      <w:bookmarkStart w:id="10" w:name="_Toc194484544"/>
      <w:r w:rsidRPr="00E701F1">
        <w:t xml:space="preserve">ARTICLE </w:t>
      </w:r>
      <w:r w:rsidR="00956B50">
        <w:t>10</w:t>
      </w:r>
      <w:r w:rsidRPr="00E701F1">
        <w:t>. LITIGES ET DIFFÉRENDS</w:t>
      </w:r>
      <w:bookmarkEnd w:id="10"/>
    </w:p>
    <w:p w:rsidR="00C96EBF" w:rsidRDefault="00C96EBF" w:rsidP="00E137A6">
      <w:pPr>
        <w:jc w:val="both"/>
      </w:pPr>
      <w:r>
        <w:t>En cas de litige, les coordonnées du service auprès duquel des rens</w:t>
      </w:r>
      <w:r w:rsidR="00E137A6">
        <w:t xml:space="preserve">eignements peuvent être obtenus </w:t>
      </w:r>
      <w:r>
        <w:t>concernant l’introduction des recours et de l’instance chargée des</w:t>
      </w:r>
      <w:r w:rsidR="00E137A6">
        <w:t xml:space="preserve"> procédures de recours sont les </w:t>
      </w:r>
      <w:r>
        <w:t>suivantes :</w:t>
      </w:r>
    </w:p>
    <w:p w:rsidR="00C96EBF" w:rsidRDefault="00C96EBF" w:rsidP="00E137A6">
      <w:pPr>
        <w:jc w:val="both"/>
      </w:pPr>
      <w:r>
        <w:t xml:space="preserve">Tribunal Administratif de </w:t>
      </w:r>
      <w:r w:rsidR="00E137A6">
        <w:t>CAEN</w:t>
      </w:r>
    </w:p>
    <w:p w:rsidR="00C96EBF" w:rsidRDefault="00C96EBF" w:rsidP="00E137A6">
      <w:pPr>
        <w:jc w:val="both"/>
      </w:pPr>
      <w:r>
        <w:t xml:space="preserve">Tél. : 02 </w:t>
      </w:r>
      <w:r w:rsidR="00E137A6">
        <w:t>31 70 72 72</w:t>
      </w:r>
    </w:p>
    <w:p w:rsidR="00E137A6" w:rsidRDefault="00C96EBF" w:rsidP="00E137A6">
      <w:pPr>
        <w:jc w:val="both"/>
        <w:rPr>
          <w:rStyle w:val="Accentuation"/>
        </w:rPr>
      </w:pPr>
      <w:r>
        <w:t xml:space="preserve">Email : </w:t>
      </w:r>
      <w:hyperlink r:id="rId8" w:history="1">
        <w:r w:rsidR="00E137A6" w:rsidRPr="00813238">
          <w:rPr>
            <w:rStyle w:val="Lienhypertexte"/>
          </w:rPr>
          <w:t>greffe.ta-caen@juradm.fr</w:t>
        </w:r>
      </w:hyperlink>
    </w:p>
    <w:p w:rsidR="00C96EBF" w:rsidRDefault="00C96EBF" w:rsidP="00E137A6">
      <w:pPr>
        <w:jc w:val="both"/>
      </w:pPr>
      <w:r>
        <w:t>Les coordonnées de l’instance chargée des procédures de médiation sont les suivantes :</w:t>
      </w:r>
    </w:p>
    <w:p w:rsidR="00C96EBF" w:rsidRDefault="00C96EBF" w:rsidP="00E137A6">
      <w:pPr>
        <w:jc w:val="both"/>
      </w:pPr>
      <w:r>
        <w:t>Comité consultatif interrégional de règlement amiable des litiges</w:t>
      </w:r>
    </w:p>
    <w:p w:rsidR="00C96EBF" w:rsidRDefault="00C96EBF" w:rsidP="00E137A6">
      <w:pPr>
        <w:jc w:val="both"/>
      </w:pPr>
      <w:r>
        <w:t>Tél. : 02 53 46 79 02</w:t>
      </w:r>
    </w:p>
    <w:p w:rsidR="00C96EBF" w:rsidRDefault="00C96EBF" w:rsidP="00E137A6">
      <w:pPr>
        <w:jc w:val="both"/>
      </w:pPr>
      <w:r>
        <w:t>Email : paysdl.ccira@dreets.gouv.fr</w:t>
      </w:r>
    </w:p>
    <w:p w:rsidR="00C8580A" w:rsidRDefault="00C96EBF" w:rsidP="00E137A6">
      <w:pPr>
        <w:jc w:val="both"/>
      </w:pPr>
      <w:r>
        <w:t xml:space="preserve">Le tribunal administratif peut également être saisi par l'application </w:t>
      </w:r>
      <w:proofErr w:type="spellStart"/>
      <w:r>
        <w:t>Télérec</w:t>
      </w:r>
      <w:r w:rsidR="001D7092">
        <w:t>ours</w:t>
      </w:r>
      <w:proofErr w:type="spellEnd"/>
      <w:r w:rsidR="001D7092">
        <w:t xml:space="preserve"> Citoyens accessible via le </w:t>
      </w:r>
      <w:r>
        <w:t>site internet www.telerecours.fr.</w:t>
      </w:r>
    </w:p>
    <w:sectPr w:rsidR="00C8580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B50" w:rsidRDefault="00956B50" w:rsidP="00956B50">
      <w:pPr>
        <w:spacing w:after="0" w:line="240" w:lineRule="auto"/>
      </w:pPr>
      <w:r>
        <w:separator/>
      </w:r>
    </w:p>
  </w:endnote>
  <w:endnote w:type="continuationSeparator" w:id="0">
    <w:p w:rsidR="00956B50" w:rsidRDefault="00956B50" w:rsidP="00956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6850358"/>
      <w:docPartObj>
        <w:docPartGallery w:val="Page Numbers (Bottom of Page)"/>
        <w:docPartUnique/>
      </w:docPartObj>
    </w:sdtPr>
    <w:sdtEndPr/>
    <w:sdtContent>
      <w:p w:rsidR="00956B50" w:rsidRDefault="00956B5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500">
          <w:rPr>
            <w:noProof/>
          </w:rPr>
          <w:t>3</w:t>
        </w:r>
        <w:r>
          <w:fldChar w:fldCharType="end"/>
        </w:r>
      </w:p>
    </w:sdtContent>
  </w:sdt>
  <w:p w:rsidR="00956B50" w:rsidRDefault="00956B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B50" w:rsidRDefault="00956B50" w:rsidP="00956B50">
      <w:pPr>
        <w:spacing w:after="0" w:line="240" w:lineRule="auto"/>
      </w:pPr>
      <w:r>
        <w:separator/>
      </w:r>
    </w:p>
  </w:footnote>
  <w:footnote w:type="continuationSeparator" w:id="0">
    <w:p w:rsidR="00956B50" w:rsidRDefault="00956B50" w:rsidP="00956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F9" w:rsidRPr="0062624B" w:rsidRDefault="00E15CF9" w:rsidP="00E15CF9">
    <w:pPr>
      <w:jc w:val="center"/>
      <w:rPr>
        <w:rFonts w:ascii="Bahnschrift SemiBold" w:hAnsi="Bahnschrift SemiBold" w:cs="Arial"/>
      </w:rPr>
    </w:pPr>
    <w:r w:rsidRPr="0062624B">
      <w:rPr>
        <w:rFonts w:ascii="Bahnschrift SemiBold" w:hAnsi="Bahnschrift SemiBold" w:cs="Arial"/>
      </w:rPr>
      <w:t>MAPA/01/2025/SMLN /Prestations d’étude</w:t>
    </w:r>
    <w:r>
      <w:rPr>
        <w:rFonts w:ascii="Bahnschrift SemiBold" w:hAnsi="Bahnschrift SemiBold" w:cs="Arial"/>
      </w:rPr>
      <w:t>s hydrol</w:t>
    </w:r>
    <w:r w:rsidRPr="0062624B">
      <w:rPr>
        <w:rFonts w:ascii="Bahnschrift SemiBold" w:hAnsi="Bahnschrift SemiBold" w:cs="Arial"/>
      </w:rPr>
      <w:t xml:space="preserve">ogiques - </w:t>
    </w:r>
    <w:r>
      <w:rPr>
        <w:rFonts w:ascii="Bahnschrift SemiBold" w:hAnsi="Bahnschrift SemiBold" w:cs="Arial"/>
      </w:rPr>
      <w:t>RC</w:t>
    </w:r>
  </w:p>
  <w:p w:rsidR="00E15CF9" w:rsidRDefault="00E15CF9">
    <w:pPr>
      <w:pStyle w:val="En-tte"/>
    </w:pPr>
  </w:p>
  <w:p w:rsidR="00E15CF9" w:rsidRDefault="00E15CF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FBF2948"/>
    <w:multiLevelType w:val="hybridMultilevel"/>
    <w:tmpl w:val="EB76C85A"/>
    <w:lvl w:ilvl="0" w:tplc="E4C4D91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71030D"/>
    <w:multiLevelType w:val="hybridMultilevel"/>
    <w:tmpl w:val="6504EB04"/>
    <w:lvl w:ilvl="0" w:tplc="4198C35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780"/>
    <w:rsid w:val="00023CDB"/>
    <w:rsid w:val="0012299F"/>
    <w:rsid w:val="001D7092"/>
    <w:rsid w:val="002C1246"/>
    <w:rsid w:val="00382E38"/>
    <w:rsid w:val="00462B4E"/>
    <w:rsid w:val="00734809"/>
    <w:rsid w:val="007476C7"/>
    <w:rsid w:val="00796DA6"/>
    <w:rsid w:val="007E6F68"/>
    <w:rsid w:val="00876943"/>
    <w:rsid w:val="008C7217"/>
    <w:rsid w:val="00956B50"/>
    <w:rsid w:val="00AF3720"/>
    <w:rsid w:val="00C0467B"/>
    <w:rsid w:val="00C75067"/>
    <w:rsid w:val="00C75780"/>
    <w:rsid w:val="00C8580A"/>
    <w:rsid w:val="00C96EBF"/>
    <w:rsid w:val="00E137A6"/>
    <w:rsid w:val="00E15CF9"/>
    <w:rsid w:val="00E701F1"/>
    <w:rsid w:val="00F8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FA71"/>
  <w15:chartTrackingRefBased/>
  <w15:docId w15:val="{4F45E214-6F96-40F5-8DB1-6D7C2C03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809"/>
  </w:style>
  <w:style w:type="paragraph" w:styleId="Titre1">
    <w:name w:val="heading 1"/>
    <w:basedOn w:val="Normal"/>
    <w:next w:val="Normal"/>
    <w:link w:val="Titre1Car"/>
    <w:uiPriority w:val="9"/>
    <w:qFormat/>
    <w:rsid w:val="00956B50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Cs w:val="36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34809"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34809"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34809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34809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34809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34809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34809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34809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F3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Policepardfaut"/>
    <w:rsid w:val="00023CDB"/>
  </w:style>
  <w:style w:type="character" w:styleId="Accentuation">
    <w:name w:val="Emphasis"/>
    <w:basedOn w:val="Policepardfaut"/>
    <w:uiPriority w:val="20"/>
    <w:qFormat/>
    <w:rsid w:val="00734809"/>
    <w:rPr>
      <w:i/>
      <w:iCs/>
      <w:color w:val="auto"/>
    </w:rPr>
  </w:style>
  <w:style w:type="character" w:styleId="Lienhypertexte">
    <w:name w:val="Hyperlink"/>
    <w:basedOn w:val="Policepardfaut"/>
    <w:uiPriority w:val="99"/>
    <w:unhideWhenUsed/>
    <w:rsid w:val="00E137A6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56B50"/>
    <w:rPr>
      <w:rFonts w:asciiTheme="majorHAnsi" w:eastAsiaTheme="majorEastAsia" w:hAnsiTheme="majorHAnsi" w:cstheme="majorBidi"/>
      <w:b/>
      <w:bCs/>
      <w:smallCaps/>
      <w:color w:val="000000" w:themeColor="text1"/>
      <w:szCs w:val="36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4809"/>
    <w:pPr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E701F1"/>
    <w:pPr>
      <w:spacing w:after="100"/>
      <w:ind w:left="220"/>
    </w:pPr>
    <w:rPr>
      <w:rFonts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701F1"/>
    <w:pPr>
      <w:spacing w:after="100"/>
    </w:pPr>
    <w:rPr>
      <w:rFonts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E701F1"/>
    <w:pPr>
      <w:spacing w:after="100"/>
      <w:ind w:left="440"/>
    </w:pPr>
    <w:rPr>
      <w:rFonts w:cs="Times New Roman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73480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73480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73480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semiHidden/>
    <w:rsid w:val="00734809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34809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7348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348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348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348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7348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34809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34809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734809"/>
    <w:rPr>
      <w:color w:val="5A5A5A" w:themeColor="text1" w:themeTint="A5"/>
      <w:spacing w:val="10"/>
    </w:rPr>
  </w:style>
  <w:style w:type="character" w:styleId="lev">
    <w:name w:val="Strong"/>
    <w:basedOn w:val="Policepardfaut"/>
    <w:uiPriority w:val="22"/>
    <w:qFormat/>
    <w:rsid w:val="00734809"/>
    <w:rPr>
      <w:b/>
      <w:bCs/>
      <w:color w:val="000000" w:themeColor="text1"/>
    </w:rPr>
  </w:style>
  <w:style w:type="paragraph" w:styleId="Sansinterligne">
    <w:name w:val="No Spacing"/>
    <w:uiPriority w:val="1"/>
    <w:qFormat/>
    <w:rsid w:val="00734809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34809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73480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480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4809"/>
    <w:rPr>
      <w:color w:val="000000" w:themeColor="text1"/>
      <w:shd w:val="clear" w:color="auto" w:fill="F2F2F2" w:themeFill="background1" w:themeFillShade="F2"/>
    </w:rPr>
  </w:style>
  <w:style w:type="character" w:styleId="Emphaseple">
    <w:name w:val="Subtle Emphasis"/>
    <w:basedOn w:val="Policepardfaut"/>
    <w:uiPriority w:val="19"/>
    <w:qFormat/>
    <w:rsid w:val="0073480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734809"/>
    <w:rPr>
      <w:b/>
      <w:bCs/>
      <w:i/>
      <w:iCs/>
      <w:caps/>
    </w:rPr>
  </w:style>
  <w:style w:type="character" w:styleId="Rfrenceple">
    <w:name w:val="Subtle Reference"/>
    <w:basedOn w:val="Policepardfaut"/>
    <w:uiPriority w:val="31"/>
    <w:qFormat/>
    <w:rsid w:val="00734809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734809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734809"/>
    <w:rPr>
      <w:b w:val="0"/>
      <w:bCs w:val="0"/>
      <w:smallCaps/>
      <w:spacing w:val="5"/>
    </w:rPr>
  </w:style>
  <w:style w:type="paragraph" w:styleId="Paragraphedeliste">
    <w:name w:val="List Paragraph"/>
    <w:basedOn w:val="Normal"/>
    <w:uiPriority w:val="34"/>
    <w:qFormat/>
    <w:rsid w:val="00C0467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C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6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6B5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56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6B50"/>
  </w:style>
  <w:style w:type="paragraph" w:styleId="Pieddepage">
    <w:name w:val="footer"/>
    <w:basedOn w:val="Normal"/>
    <w:link w:val="PieddepageCar"/>
    <w:uiPriority w:val="99"/>
    <w:unhideWhenUsed/>
    <w:rsid w:val="00956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6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ffe.ta-caen@juradm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467"/>
    <w:rsid w:val="006C063B"/>
    <w:rsid w:val="00DA4B57"/>
    <w:rsid w:val="00E8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F616CFAC5D14CB4B20D09FD17BBED8D">
    <w:name w:val="1F616CFAC5D14CB4B20D09FD17BBED8D"/>
    <w:rsid w:val="00E81467"/>
  </w:style>
  <w:style w:type="paragraph" w:customStyle="1" w:styleId="B5B6A7D6C39C4C5DB0A2DA0090FA7968">
    <w:name w:val="B5B6A7D6C39C4C5DB0A2DA0090FA7968"/>
    <w:rsid w:val="00E81467"/>
  </w:style>
  <w:style w:type="paragraph" w:customStyle="1" w:styleId="2E9083C621F24DB68F8CC354478EDD21">
    <w:name w:val="2E9083C621F24DB68F8CC354478EDD21"/>
    <w:rsid w:val="00E81467"/>
  </w:style>
  <w:style w:type="paragraph" w:customStyle="1" w:styleId="B51EA63808994F0185FC7DA5E140E748">
    <w:name w:val="B51EA63808994F0185FC7DA5E140E748"/>
    <w:rsid w:val="006C06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F6455-6255-4E7E-A774-543DE767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11</Pages>
  <Words>3107</Words>
  <Characters>17090</Characters>
  <Application>Microsoft Office Word</Application>
  <DocSecurity>0</DocSecurity>
  <Lines>142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20157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Fabien</dc:creator>
  <cp:keywords/>
  <dc:description/>
  <cp:lastModifiedBy>MARTIN Fabien</cp:lastModifiedBy>
  <cp:revision>13</cp:revision>
  <cp:lastPrinted>2025-04-02T08:28:00Z</cp:lastPrinted>
  <dcterms:created xsi:type="dcterms:W3CDTF">2025-03-18T09:18:00Z</dcterms:created>
  <dcterms:modified xsi:type="dcterms:W3CDTF">2025-04-02T09:08:00Z</dcterms:modified>
</cp:coreProperties>
</file>