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B16EA" w14:textId="77777777" w:rsidR="000F7FC0" w:rsidRDefault="00F95737">
      <w:pPr>
        <w:spacing w:after="200" w:line="276" w:lineRule="auto"/>
        <w:rPr>
          <w:rFonts w:ascii="Verdana" w:hAnsi="Verdana" w:cs="Times New Roman"/>
          <w:kern w:val="0"/>
          <w:sz w:val="20"/>
          <w:szCs w:val="22"/>
          <w:lang w:eastAsia="en-US"/>
        </w:rPr>
      </w:pPr>
      <w:r>
        <w:rPr>
          <w:rFonts w:ascii="Times New Roman" w:hAnsi="Times New Roman" w:cs="Times New Roman"/>
          <w:kern w:val="0"/>
        </w:rPr>
        <w:t xml:space="preserve"> </w:t>
      </w:r>
      <w:r>
        <w:rPr>
          <w:noProof/>
        </w:rPr>
        <mc:AlternateContent>
          <mc:Choice Requires="wps">
            <w:drawing>
              <wp:anchor distT="0" distB="0" distL="114300" distR="114300" simplePos="0" relativeHeight="251658240" behindDoc="0" locked="0" layoutInCell="1" allowOverlap="1" wp14:anchorId="72F4F666" wp14:editId="3A9D8F21">
                <wp:simplePos x="0" y="0"/>
                <wp:positionH relativeFrom="column">
                  <wp:align>center</wp:align>
                </wp:positionH>
                <wp:positionV relativeFrom="paragraph">
                  <wp:posOffset>0</wp:posOffset>
                </wp:positionV>
                <wp:extent cx="3752850" cy="1114425"/>
                <wp:effectExtent l="0" t="0" r="6350" b="3175"/>
                <wp:wrapNone/>
                <wp:docPr id="14833034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52850" cy="1114425"/>
                        </a:xfrm>
                        <a:prstGeom prst="roundRect">
                          <a:avLst>
                            <a:gd name="adj" fmla="val 16667"/>
                          </a:avLst>
                        </a:prstGeom>
                        <a:solidFill>
                          <a:srgbClr val="891114"/>
                        </a:solidFill>
                        <a:ln w="9525">
                          <a:solidFill>
                            <a:srgbClr val="B90519"/>
                          </a:solidFill>
                          <a:round/>
                          <a:headEnd/>
                          <a:tailEnd/>
                        </a:ln>
                      </wps:spPr>
                      <wps:txbx>
                        <w:txbxContent>
                          <w:p w14:paraId="1FC848C6" w14:textId="77777777" w:rsidR="0062534C" w:rsidRPr="005F1C0E" w:rsidRDefault="00F95737" w:rsidP="005F1C0E">
                            <w:pPr>
                              <w:spacing w:after="200" w:line="276" w:lineRule="auto"/>
                              <w:jc w:val="center"/>
                              <w:rPr>
                                <w:rFonts w:ascii="Verdana" w:hAnsi="Verdana" w:cs="Times New Roman"/>
                                <w:color w:val="FFFFFF"/>
                                <w:kern w:val="0"/>
                                <w:sz w:val="40"/>
                                <w:szCs w:val="40"/>
                                <w:lang w:eastAsia="en-US"/>
                              </w:rPr>
                            </w:pPr>
                            <w:r>
                              <w:rPr>
                                <w:rFonts w:ascii="Times New Roman" w:hAnsi="Times New Roman" w:cs="Times New Roman"/>
                                <w:kern w:val="0"/>
                              </w:rPr>
                              <w:t xml:space="preserve"> </w:t>
                            </w:r>
                            <w:r w:rsidR="0075789C">
                              <w:rPr>
                                <w:rFonts w:ascii="Verdana" w:hAnsi="Verdana" w:cs="Times New Roman"/>
                                <w:color w:val="FFFFFF"/>
                                <w:kern w:val="0"/>
                                <w:sz w:val="40"/>
                                <w:szCs w:val="40"/>
                                <w:lang w:eastAsia="en-US"/>
                              </w:rPr>
                              <w:t>Avis d'appel public à la concurrence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F4F666" id="AutoShape 2" o:spid="_x0000_s1026" style="position:absolute;margin-left:0;margin-top:0;width:295.5pt;height:87.7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" fillcolor="#891114" strokecolor="#b90519">
                <v:path arrowok="t"/>
                <v:textbox>
                  <w:txbxContent>
                    <w:p w14:paraId="1FC848C6" w14:textId="77777777" w:rsidR="0062534C" w:rsidRPr="005F1C0E" w:rsidRDefault="00F95737" w:rsidP="005F1C0E">
                      <w:pPr>
                        <w:spacing w:after="200" w:line="276" w:lineRule="auto"/>
                        <w:jc w:val="center"/>
                        <w:rPr>
                          <w:rFonts w:ascii="Verdana" w:hAnsi="Verdana" w:cs="Times New Roman"/>
                          <w:color w:val="FFFFFF"/>
                          <w:kern w:val="0"/>
                          <w:sz w:val="40"/>
                          <w:szCs w:val="40"/>
                          <w:lang w:eastAsia="en-US"/>
                        </w:rPr>
                      </w:pPr>
                      <w:r>
                        <w:rPr>
                          <w:rFonts w:ascii="Times New Roman" w:hAnsi="Times New Roman" w:cs="Times New Roman"/>
                          <w:kern w:val="0"/>
                        </w:rPr>
                        <w:t xml:space="preserve"> </w:t>
                      </w:r>
                      <w:r w:rsidR="0075789C">
                        <w:rPr>
                          <w:rFonts w:ascii="Verdana" w:hAnsi="Verdana" w:cs="Times New Roman"/>
                          <w:color w:val="FFFFFF"/>
                          <w:kern w:val="0"/>
                          <w:sz w:val="40"/>
                          <w:szCs w:val="40"/>
                          <w:lang w:eastAsia="en-US"/>
                        </w:rPr>
                        <w:t>Avis d'appel public à la concurrence</w:t>
                      </w:r>
                    </w:p>
                  </w:txbxContent>
                </v:textbox>
              </v:roundrect>
            </w:pict>
          </mc:Fallback>
        </mc:AlternateContent>
      </w:r>
    </w:p>
    <w:p w14:paraId="42BAD298" w14:textId="77777777" w:rsidR="000F7FC0" w:rsidRPr="000F7FC0" w:rsidRDefault="000F7FC0" w:rsidP="000F7FC0">
      <w:pPr>
        <w:spacing w:after="200" w:line="276" w:lineRule="auto"/>
        <w:rPr>
          <w:rFonts w:ascii="Verdana" w:hAnsi="Verdana" w:cs="Times New Roman"/>
          <w:kern w:val="0"/>
          <w:sz w:val="20"/>
          <w:szCs w:val="22"/>
          <w:lang w:eastAsia="en-US"/>
        </w:rPr>
      </w:pPr>
    </w:p>
    <w:p w14:paraId="142DE4EB" w14:textId="77777777" w:rsidR="000F7FC0" w:rsidRPr="000F7FC0" w:rsidRDefault="000F7FC0" w:rsidP="000F7FC0">
      <w:pPr>
        <w:spacing w:after="200" w:line="276" w:lineRule="auto"/>
        <w:rPr>
          <w:rFonts w:ascii="Verdana" w:hAnsi="Verdana" w:cs="Times New Roman"/>
          <w:kern w:val="0"/>
          <w:sz w:val="20"/>
          <w:szCs w:val="22"/>
          <w:lang w:eastAsia="en-US"/>
        </w:rPr>
      </w:pPr>
    </w:p>
    <w:p w14:paraId="3FB3BABA" w14:textId="77777777" w:rsidR="000F7FC0" w:rsidRPr="000F7FC0" w:rsidRDefault="000F7FC0" w:rsidP="000F7FC0">
      <w:pPr>
        <w:spacing w:after="200" w:line="276" w:lineRule="auto"/>
        <w:rPr>
          <w:rFonts w:ascii="Verdana" w:hAnsi="Verdana" w:cs="Times New Roman"/>
          <w:kern w:val="0"/>
          <w:sz w:val="20"/>
          <w:szCs w:val="22"/>
          <w:lang w:eastAsia="en-US"/>
        </w:rPr>
      </w:pPr>
    </w:p>
    <w:p w14:paraId="6D0F439D"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Pouvoir adjudicateur</w:t>
      </w:r>
      <w:r>
        <w:rPr>
          <w:rFonts w:ascii="Times New Roman" w:hAnsi="Times New Roman" w:cs="Times New Roman"/>
          <w:kern w:val="0"/>
          <w:sz w:val="20"/>
        </w:rPr>
        <w:t xml:space="preserve"> :</w:t>
      </w:r>
    </w:p>
    <w:p w14:paraId="7DA1DA43"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Désignation :</w:t>
      </w:r>
    </w:p>
    <w:p w14:paraId="453F42D6"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SIVOM de Guiscard</w:t>
      </w:r>
    </w:p>
    <w:p w14:paraId="26F3E762"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Mairie de Guiscard</w:t>
      </w:r>
    </w:p>
    <w:p w14:paraId="760053B2"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127 Rue du Général Leclerc</w:t>
      </w:r>
    </w:p>
    <w:p w14:paraId="0597BD3E"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60640 Guiscard</w:t>
      </w:r>
    </w:p>
    <w:p w14:paraId="2943A474"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Téléphone : 03.44.43.20.22</w:t>
      </w:r>
    </w:p>
    <w:p w14:paraId="2308C112"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E-Mail : secretariat.syndicats@guiscard.fr</w:t>
      </w:r>
    </w:p>
    <w:p w14:paraId="21E39B98"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Statut : Commune</w:t>
      </w:r>
    </w:p>
    <w:p w14:paraId="33D4D7B5"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 xml:space="preserve">Activité(s) principale(s) : </w:t>
      </w:r>
    </w:p>
    <w:p w14:paraId="07640B28" w14:textId="77777777" w:rsidR="00F95737" w:rsidRDefault="00F95737" w:rsidP="00F95737">
      <w:pPr>
        <w:numPr>
          <w:ilvl w:val="0"/>
          <w:numId w:val="1"/>
        </w:numPr>
        <w:autoSpaceDE w:val="0"/>
        <w:autoSpaceDN w:val="0"/>
        <w:adjustRightInd w:val="0"/>
        <w:spacing w:before="100" w:after="0" w:line="240" w:lineRule="auto"/>
        <w:ind w:left="580" w:hanging="250"/>
        <w:jc w:val="both"/>
        <w:rPr>
          <w:rFonts w:ascii="Times New Roman" w:hAnsi="Times New Roman" w:cs="Times New Roman"/>
          <w:kern w:val="0"/>
          <w:sz w:val="20"/>
        </w:rPr>
      </w:pPr>
      <w:r>
        <w:rPr>
          <w:rFonts w:ascii="Times New Roman" w:hAnsi="Times New Roman" w:cs="Times New Roman"/>
          <w:kern w:val="0"/>
          <w:sz w:val="20"/>
        </w:rPr>
        <w:t>Services généraux des administrations publiques</w:t>
      </w:r>
    </w:p>
    <w:p w14:paraId="240CAD30" w14:textId="77777777" w:rsidR="00F95737" w:rsidRDefault="00F9573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Le pouvoir adjudicateur n'agit pas pour le compte d'autres pouvoirs adjudicateurs.</w:t>
      </w:r>
    </w:p>
    <w:p w14:paraId="155CD1FF" w14:textId="77777777" w:rsidR="00F95737" w:rsidRDefault="00F9573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b/>
          <w:kern w:val="0"/>
          <w:sz w:val="20"/>
        </w:rPr>
        <w:t xml:space="preserve">Profil d'acheteur : </w:t>
      </w:r>
      <w:r>
        <w:rPr>
          <w:rFonts w:ascii="Times New Roman" w:hAnsi="Times New Roman" w:cs="Times New Roman"/>
          <w:kern w:val="0"/>
          <w:sz w:val="20"/>
        </w:rPr>
        <w:t>https://www.marches-securises.fr/</w:t>
      </w:r>
    </w:p>
    <w:p w14:paraId="24F0E906" w14:textId="77777777" w:rsidR="00F95737" w:rsidRDefault="00F95737">
      <w:pPr>
        <w:autoSpaceDE w:val="0"/>
        <w:autoSpaceDN w:val="0"/>
        <w:adjustRightInd w:val="0"/>
        <w:spacing w:after="0" w:line="240" w:lineRule="auto"/>
        <w:rPr>
          <w:rFonts w:ascii="Times New Roman" w:hAnsi="Times New Roman" w:cs="Times New Roman"/>
          <w:kern w:val="0"/>
          <w:sz w:val="20"/>
        </w:rPr>
      </w:pPr>
    </w:p>
    <w:p w14:paraId="4928464C" w14:textId="77777777" w:rsidR="00F95737" w:rsidRDefault="00F95737">
      <w:pPr>
        <w:autoSpaceDE w:val="0"/>
        <w:autoSpaceDN w:val="0"/>
        <w:adjustRightInd w:val="0"/>
        <w:spacing w:after="0" w:line="240" w:lineRule="auto"/>
        <w:rPr>
          <w:rFonts w:ascii="Times New Roman" w:hAnsi="Times New Roman" w:cs="Times New Roman"/>
          <w:kern w:val="0"/>
          <w:sz w:val="20"/>
        </w:rPr>
      </w:pPr>
    </w:p>
    <w:p w14:paraId="291DB783" w14:textId="77777777" w:rsidR="00F95737" w:rsidRDefault="00F9573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L'avis concerne un accord-cadre.</w:t>
      </w:r>
    </w:p>
    <w:p w14:paraId="7415F7A0" w14:textId="77777777" w:rsidR="00F95737" w:rsidRDefault="00F95737">
      <w:pPr>
        <w:autoSpaceDE w:val="0"/>
        <w:autoSpaceDN w:val="0"/>
        <w:adjustRightInd w:val="0"/>
        <w:spacing w:after="0" w:line="240" w:lineRule="auto"/>
        <w:rPr>
          <w:rFonts w:ascii="Times New Roman" w:hAnsi="Times New Roman" w:cs="Times New Roman"/>
          <w:kern w:val="0"/>
          <w:sz w:val="20"/>
        </w:rPr>
      </w:pPr>
    </w:p>
    <w:p w14:paraId="09C9A991" w14:textId="77777777" w:rsidR="00F95737" w:rsidRDefault="00F95737">
      <w:pPr>
        <w:autoSpaceDE w:val="0"/>
        <w:autoSpaceDN w:val="0"/>
        <w:adjustRightInd w:val="0"/>
        <w:spacing w:after="0" w:line="240" w:lineRule="auto"/>
        <w:rPr>
          <w:rFonts w:ascii="Times New Roman" w:hAnsi="Times New Roman" w:cs="Times New Roman"/>
          <w:kern w:val="0"/>
          <w:sz w:val="20"/>
        </w:rPr>
      </w:pPr>
    </w:p>
    <w:p w14:paraId="187ADDA5" w14:textId="77777777" w:rsidR="00F95737" w:rsidRDefault="00F9573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b/>
          <w:kern w:val="0"/>
          <w:sz w:val="20"/>
        </w:rPr>
        <w:t>Objet de l'accord-cadre</w:t>
      </w:r>
      <w:r>
        <w:rPr>
          <w:rFonts w:ascii="Times New Roman" w:hAnsi="Times New Roman" w:cs="Times New Roman"/>
          <w:kern w:val="0"/>
          <w:sz w:val="20"/>
        </w:rPr>
        <w:t xml:space="preserve"> :</w:t>
      </w:r>
    </w:p>
    <w:p w14:paraId="3C95BEBC" w14:textId="77777777" w:rsidR="00F95737" w:rsidRDefault="00F9573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Balayage mécanique des voiries communales 2025 à 2029</w:t>
      </w:r>
    </w:p>
    <w:p w14:paraId="57C30A30" w14:textId="77777777" w:rsidR="00F95737" w:rsidRDefault="00F95737">
      <w:pPr>
        <w:autoSpaceDE w:val="0"/>
        <w:autoSpaceDN w:val="0"/>
        <w:adjustRightInd w:val="0"/>
        <w:spacing w:after="0" w:line="240" w:lineRule="auto"/>
        <w:rPr>
          <w:rFonts w:ascii="Times New Roman" w:hAnsi="Times New Roman" w:cs="Times New Roman"/>
          <w:kern w:val="0"/>
          <w:sz w:val="20"/>
        </w:rPr>
      </w:pPr>
    </w:p>
    <w:p w14:paraId="706AAFBF" w14:textId="77777777" w:rsidR="00F95737" w:rsidRDefault="00F95737">
      <w:pPr>
        <w:autoSpaceDE w:val="0"/>
        <w:autoSpaceDN w:val="0"/>
        <w:adjustRightInd w:val="0"/>
        <w:spacing w:after="0" w:line="240" w:lineRule="auto"/>
        <w:rPr>
          <w:rFonts w:ascii="Times New Roman" w:hAnsi="Times New Roman" w:cs="Times New Roman"/>
          <w:kern w:val="0"/>
          <w:sz w:val="20"/>
        </w:rPr>
      </w:pPr>
    </w:p>
    <w:p w14:paraId="47E52A32" w14:textId="77777777" w:rsidR="00F95737" w:rsidRDefault="00F9573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Accord-cadre couvert par l'accord sur les marchés publics (AMP) :non</w:t>
      </w:r>
    </w:p>
    <w:p w14:paraId="3D90AB16" w14:textId="77777777" w:rsidR="00F95737" w:rsidRDefault="00F95737">
      <w:pPr>
        <w:autoSpaceDE w:val="0"/>
        <w:autoSpaceDN w:val="0"/>
        <w:adjustRightInd w:val="0"/>
        <w:spacing w:after="0" w:line="240" w:lineRule="auto"/>
        <w:rPr>
          <w:rFonts w:ascii="Times New Roman" w:hAnsi="Times New Roman" w:cs="Times New Roman"/>
          <w:kern w:val="0"/>
          <w:sz w:val="20"/>
        </w:rPr>
      </w:pPr>
    </w:p>
    <w:p w14:paraId="72004C8C" w14:textId="77777777" w:rsidR="00F95737" w:rsidRDefault="00F9573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Forme de l'accord-cadre : Accord-cadre</w:t>
      </w:r>
    </w:p>
    <w:p w14:paraId="108583BC" w14:textId="77777777" w:rsidR="00F95737" w:rsidRDefault="00F95737">
      <w:pPr>
        <w:autoSpaceDE w:val="0"/>
        <w:autoSpaceDN w:val="0"/>
        <w:adjustRightInd w:val="0"/>
        <w:spacing w:after="0" w:line="240" w:lineRule="auto"/>
        <w:rPr>
          <w:rFonts w:ascii="Times New Roman" w:hAnsi="Times New Roman" w:cs="Times New Roman"/>
          <w:kern w:val="0"/>
          <w:sz w:val="20"/>
        </w:rPr>
      </w:pPr>
    </w:p>
    <w:p w14:paraId="6D1B73EC" w14:textId="77777777" w:rsidR="00F95737" w:rsidRDefault="00F9573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Type d'accord-cadre de services : Services courants hors services sociaux, spécifiques et juridiques</w:t>
      </w:r>
    </w:p>
    <w:p w14:paraId="513B2084" w14:textId="77777777" w:rsidR="00F95737" w:rsidRDefault="00F9573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b/>
          <w:kern w:val="0"/>
          <w:sz w:val="20"/>
        </w:rPr>
        <w:t xml:space="preserve">Lieu principal d'exécution : </w:t>
      </w:r>
      <w:r>
        <w:rPr>
          <w:rFonts w:ascii="Times New Roman" w:hAnsi="Times New Roman" w:cs="Times New Roman"/>
          <w:kern w:val="0"/>
          <w:sz w:val="20"/>
        </w:rPr>
        <w:t xml:space="preserve"> </w:t>
      </w:r>
    </w:p>
    <w:p w14:paraId="645B447D" w14:textId="77777777" w:rsidR="00F95737" w:rsidRDefault="00F9573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Territoire du SIVOM de Guiscard</w:t>
      </w:r>
    </w:p>
    <w:p w14:paraId="1C5F55C4" w14:textId="77777777" w:rsidR="00F95737" w:rsidRDefault="00F9573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Code NUTS : FRE22</w:t>
      </w:r>
    </w:p>
    <w:p w14:paraId="1069F854" w14:textId="77777777" w:rsidR="00F95737" w:rsidRDefault="00F95737">
      <w:pPr>
        <w:autoSpaceDE w:val="0"/>
        <w:autoSpaceDN w:val="0"/>
        <w:adjustRightInd w:val="0"/>
        <w:spacing w:after="0" w:line="240" w:lineRule="auto"/>
        <w:rPr>
          <w:rFonts w:ascii="Times New Roman" w:hAnsi="Times New Roman" w:cs="Times New Roman"/>
          <w:kern w:val="0"/>
          <w:sz w:val="20"/>
        </w:rPr>
      </w:pPr>
    </w:p>
    <w:p w14:paraId="4C6863DD" w14:textId="77777777" w:rsidR="00F95737" w:rsidRDefault="00F95737">
      <w:pPr>
        <w:autoSpaceDE w:val="0"/>
        <w:autoSpaceDN w:val="0"/>
        <w:adjustRightInd w:val="0"/>
        <w:spacing w:after="0" w:line="240" w:lineRule="auto"/>
        <w:rPr>
          <w:rFonts w:ascii="Times New Roman" w:hAnsi="Times New Roman" w:cs="Times New Roman"/>
          <w:kern w:val="0"/>
          <w:sz w:val="20"/>
        </w:rPr>
      </w:pPr>
    </w:p>
    <w:p w14:paraId="5BCBFBB6" w14:textId="77777777" w:rsidR="00F95737" w:rsidRDefault="00F9573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b/>
          <w:kern w:val="0"/>
          <w:sz w:val="20"/>
        </w:rPr>
        <w:t>CPV global à la consultation</w:t>
      </w:r>
      <w:r>
        <w:rPr>
          <w:rFonts w:ascii="Times New Roman" w:hAnsi="Times New Roman" w:cs="Times New Roman"/>
          <w:kern w:val="0"/>
          <w:sz w:val="20"/>
        </w:rPr>
        <w:t xml:space="preserve"> </w:t>
      </w:r>
    </w:p>
    <w:p w14:paraId="3B845A92" w14:textId="77777777" w:rsidR="00F95737" w:rsidRDefault="00F9573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b/>
          <w:kern w:val="0"/>
          <w:sz w:val="20"/>
        </w:rPr>
        <w:t>CPV principal :</w:t>
      </w:r>
      <w:r>
        <w:rPr>
          <w:rFonts w:ascii="Times New Roman" w:hAnsi="Times New Roman" w:cs="Times New Roman"/>
          <w:kern w:val="0"/>
          <w:sz w:val="20"/>
        </w:rPr>
        <w:t xml:space="preserve"> 90612000-0</w:t>
      </w:r>
    </w:p>
    <w:p w14:paraId="5F936AA1" w14:textId="77777777" w:rsidR="00F95737" w:rsidRDefault="00F95737">
      <w:pPr>
        <w:autoSpaceDE w:val="0"/>
        <w:autoSpaceDN w:val="0"/>
        <w:adjustRightInd w:val="0"/>
        <w:spacing w:after="0" w:line="240" w:lineRule="auto"/>
        <w:rPr>
          <w:rFonts w:ascii="Times New Roman" w:hAnsi="Times New Roman" w:cs="Times New Roman"/>
          <w:kern w:val="0"/>
          <w:sz w:val="20"/>
        </w:rPr>
      </w:pPr>
    </w:p>
    <w:p w14:paraId="356E894A" w14:textId="77777777" w:rsidR="00F95737" w:rsidRDefault="00F9573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CPV additionnel 1 : 90610000-6</w:t>
      </w:r>
    </w:p>
    <w:p w14:paraId="6C95BDD0" w14:textId="77777777" w:rsidR="00F95737" w:rsidRDefault="00F95737">
      <w:pPr>
        <w:autoSpaceDE w:val="0"/>
        <w:autoSpaceDN w:val="0"/>
        <w:adjustRightInd w:val="0"/>
        <w:spacing w:after="0" w:line="240" w:lineRule="auto"/>
        <w:rPr>
          <w:rFonts w:ascii="Times New Roman" w:hAnsi="Times New Roman" w:cs="Times New Roman"/>
          <w:kern w:val="0"/>
          <w:sz w:val="20"/>
        </w:rPr>
      </w:pPr>
    </w:p>
    <w:p w14:paraId="479FBDE9" w14:textId="77777777" w:rsidR="00F95737" w:rsidRDefault="00F9573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Les prestations sont traitées à prix unitaires.</w:t>
      </w:r>
    </w:p>
    <w:p w14:paraId="56457C78" w14:textId="77777777" w:rsidR="00F95737" w:rsidRDefault="00F95737">
      <w:pPr>
        <w:autoSpaceDE w:val="0"/>
        <w:autoSpaceDN w:val="0"/>
        <w:adjustRightInd w:val="0"/>
        <w:spacing w:after="0" w:line="240" w:lineRule="auto"/>
        <w:rPr>
          <w:rFonts w:ascii="Times New Roman" w:hAnsi="Times New Roman" w:cs="Times New Roman"/>
          <w:kern w:val="0"/>
          <w:sz w:val="20"/>
        </w:rPr>
      </w:pPr>
    </w:p>
    <w:p w14:paraId="42C4E5DB" w14:textId="77777777" w:rsidR="00F95737" w:rsidRDefault="00F9573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Dévolution en accord-cadre unique.</w:t>
      </w:r>
    </w:p>
    <w:p w14:paraId="16B2C95E" w14:textId="77777777" w:rsidR="00F95737" w:rsidRDefault="00F95737">
      <w:pPr>
        <w:autoSpaceDE w:val="0"/>
        <w:autoSpaceDN w:val="0"/>
        <w:adjustRightInd w:val="0"/>
        <w:spacing w:after="0" w:line="240" w:lineRule="auto"/>
        <w:rPr>
          <w:rFonts w:ascii="Times New Roman" w:hAnsi="Times New Roman" w:cs="Times New Roman"/>
          <w:kern w:val="0"/>
          <w:sz w:val="20"/>
        </w:rPr>
      </w:pPr>
    </w:p>
    <w:p w14:paraId="63E3E793" w14:textId="77777777" w:rsidR="00F95737" w:rsidRDefault="00F9573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Le montant minimum de commandes pour la durée de la période initiale est de 5 000.00 euros HT.</w:t>
      </w:r>
    </w:p>
    <w:p w14:paraId="3937D6BB" w14:textId="77777777" w:rsidR="00F95737" w:rsidRDefault="00F9573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Le montant maximum de commandes pour la durée de la période initiale est de 30 000.00 euros HT.</w:t>
      </w:r>
    </w:p>
    <w:p w14:paraId="2E35A617" w14:textId="77777777" w:rsidR="00F95737" w:rsidRDefault="00F95737">
      <w:pPr>
        <w:autoSpaceDE w:val="0"/>
        <w:autoSpaceDN w:val="0"/>
        <w:adjustRightInd w:val="0"/>
        <w:spacing w:after="0" w:line="240" w:lineRule="auto"/>
        <w:rPr>
          <w:rFonts w:ascii="Times New Roman" w:hAnsi="Times New Roman" w:cs="Times New Roman"/>
          <w:kern w:val="0"/>
          <w:sz w:val="20"/>
        </w:rPr>
      </w:pPr>
    </w:p>
    <w:p w14:paraId="5B31983F" w14:textId="77777777" w:rsidR="00F95737" w:rsidRDefault="00F9573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Le montant minimum de commandes pour la durée de la période de reconduction n°1 est de 5 000.00 euros HT.</w:t>
      </w:r>
    </w:p>
    <w:p w14:paraId="18AA8533" w14:textId="77777777" w:rsidR="00F95737" w:rsidRDefault="00F9573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Le montant maximum de commandes pour la durée de la période de reconduction n°1 est de 30 000.00 euros HT.</w:t>
      </w:r>
    </w:p>
    <w:p w14:paraId="60C4C6F9" w14:textId="77777777" w:rsidR="00F95737" w:rsidRDefault="00F95737">
      <w:pPr>
        <w:autoSpaceDE w:val="0"/>
        <w:autoSpaceDN w:val="0"/>
        <w:adjustRightInd w:val="0"/>
        <w:spacing w:after="0" w:line="240" w:lineRule="auto"/>
        <w:rPr>
          <w:rFonts w:ascii="Times New Roman" w:hAnsi="Times New Roman" w:cs="Times New Roman"/>
          <w:kern w:val="0"/>
          <w:sz w:val="20"/>
        </w:rPr>
      </w:pPr>
    </w:p>
    <w:p w14:paraId="7812294D" w14:textId="77777777" w:rsidR="00F95737" w:rsidRDefault="00F9573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Le montant minimum de commandes pour la durée de la période de reconduction n°2 est de 5 000.00 euros HT.</w:t>
      </w:r>
    </w:p>
    <w:p w14:paraId="6BC76FEC" w14:textId="77777777" w:rsidR="00F95737" w:rsidRDefault="00F9573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Le montant maximum de commandes pour la durée de la période de reconduction n°2 est de 30 000.00 euros HT.</w:t>
      </w:r>
    </w:p>
    <w:p w14:paraId="5D1DA1CD" w14:textId="77777777" w:rsidR="00F95737" w:rsidRDefault="00F95737">
      <w:pPr>
        <w:autoSpaceDE w:val="0"/>
        <w:autoSpaceDN w:val="0"/>
        <w:adjustRightInd w:val="0"/>
        <w:spacing w:after="0" w:line="240" w:lineRule="auto"/>
        <w:rPr>
          <w:rFonts w:ascii="Times New Roman" w:hAnsi="Times New Roman" w:cs="Times New Roman"/>
          <w:kern w:val="0"/>
          <w:sz w:val="20"/>
        </w:rPr>
      </w:pPr>
    </w:p>
    <w:p w14:paraId="54D5130F" w14:textId="77777777" w:rsidR="00F95737" w:rsidRDefault="00F9573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lastRenderedPageBreak/>
        <w:t>Le montant minimum de commandes pour la durée de la période de reconduction n°3 est de 5 000.00 euros HT.</w:t>
      </w:r>
    </w:p>
    <w:p w14:paraId="0D48FB45" w14:textId="77777777" w:rsidR="00F95737" w:rsidRDefault="00F9573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Le montant maximum de commandes pour la durée de la période de reconduction n°3 est de 30 000.00 euros HT.</w:t>
      </w:r>
    </w:p>
    <w:p w14:paraId="43DC5138" w14:textId="77777777" w:rsidR="00F95737" w:rsidRDefault="00F95737">
      <w:pPr>
        <w:autoSpaceDE w:val="0"/>
        <w:autoSpaceDN w:val="0"/>
        <w:adjustRightInd w:val="0"/>
        <w:spacing w:after="0" w:line="240" w:lineRule="auto"/>
        <w:rPr>
          <w:rFonts w:ascii="Times New Roman" w:hAnsi="Times New Roman" w:cs="Times New Roman"/>
          <w:kern w:val="0"/>
          <w:sz w:val="20"/>
        </w:rPr>
      </w:pPr>
    </w:p>
    <w:p w14:paraId="7624B24C" w14:textId="77777777" w:rsidR="00F95737" w:rsidRDefault="00F95737">
      <w:pPr>
        <w:autoSpaceDE w:val="0"/>
        <w:autoSpaceDN w:val="0"/>
        <w:adjustRightInd w:val="0"/>
        <w:spacing w:after="0" w:line="240" w:lineRule="auto"/>
        <w:rPr>
          <w:rFonts w:ascii="Times New Roman" w:hAnsi="Times New Roman" w:cs="Times New Roman"/>
          <w:kern w:val="0"/>
          <w:sz w:val="20"/>
        </w:rPr>
      </w:pPr>
    </w:p>
    <w:p w14:paraId="78D90F75" w14:textId="77777777" w:rsidR="00F95737" w:rsidRDefault="00F9573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Il n'est pas prévu de variantes exigées et les variantes ne sont pas autorisées.</w:t>
      </w:r>
    </w:p>
    <w:p w14:paraId="3A32F377" w14:textId="77777777" w:rsidR="00F95737" w:rsidRDefault="00F95737">
      <w:pPr>
        <w:autoSpaceDE w:val="0"/>
        <w:autoSpaceDN w:val="0"/>
        <w:adjustRightInd w:val="0"/>
        <w:spacing w:after="0" w:line="240" w:lineRule="auto"/>
        <w:rPr>
          <w:rFonts w:ascii="Times New Roman" w:hAnsi="Times New Roman" w:cs="Times New Roman"/>
          <w:kern w:val="0"/>
          <w:sz w:val="20"/>
        </w:rPr>
      </w:pPr>
    </w:p>
    <w:p w14:paraId="4FB2EEBA" w14:textId="77777777" w:rsidR="00F95737" w:rsidRDefault="00F9573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L'accord-cadre a une durée prévisionnelle de 48 mois.</w:t>
      </w:r>
    </w:p>
    <w:p w14:paraId="1E7D2EE3" w14:textId="77777777" w:rsidR="00F95737" w:rsidRDefault="00F95737">
      <w:pPr>
        <w:autoSpaceDE w:val="0"/>
        <w:autoSpaceDN w:val="0"/>
        <w:adjustRightInd w:val="0"/>
        <w:spacing w:after="0" w:line="240" w:lineRule="auto"/>
        <w:rPr>
          <w:rFonts w:ascii="Times New Roman" w:hAnsi="Times New Roman" w:cs="Times New Roman"/>
          <w:kern w:val="0"/>
          <w:sz w:val="20"/>
        </w:rPr>
      </w:pPr>
    </w:p>
    <w:p w14:paraId="437C81B9" w14:textId="77777777" w:rsidR="00F95737" w:rsidRDefault="00F9573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L'accord-cadre a une durée initiale de 1 année.</w:t>
      </w:r>
    </w:p>
    <w:p w14:paraId="1A896615" w14:textId="77777777" w:rsidR="00F95737" w:rsidRDefault="00F95737">
      <w:pPr>
        <w:autoSpaceDE w:val="0"/>
        <w:autoSpaceDN w:val="0"/>
        <w:adjustRightInd w:val="0"/>
        <w:spacing w:after="0" w:line="240" w:lineRule="auto"/>
        <w:rPr>
          <w:rFonts w:ascii="Times New Roman" w:hAnsi="Times New Roman" w:cs="Times New Roman"/>
          <w:kern w:val="0"/>
          <w:sz w:val="20"/>
        </w:rPr>
      </w:pPr>
    </w:p>
    <w:p w14:paraId="241DFF3C" w14:textId="77777777" w:rsidR="00F95737" w:rsidRDefault="00F9573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 xml:space="preserve">Il est renouvelable 3 fois par reconduction tacite selon les périodes suivantes : </w:t>
      </w:r>
    </w:p>
    <w:p w14:paraId="2DD55ED7" w14:textId="77777777" w:rsidR="00F95737" w:rsidRDefault="00F95737" w:rsidP="00F95737">
      <w:pPr>
        <w:numPr>
          <w:ilvl w:val="0"/>
          <w:numId w:val="1"/>
        </w:numPr>
        <w:autoSpaceDE w:val="0"/>
        <w:autoSpaceDN w:val="0"/>
        <w:adjustRightInd w:val="0"/>
        <w:spacing w:after="0" w:line="240" w:lineRule="auto"/>
        <w:ind w:left="580" w:hanging="250"/>
        <w:rPr>
          <w:rFonts w:ascii="Times New Roman" w:hAnsi="Times New Roman" w:cs="Times New Roman"/>
          <w:kern w:val="0"/>
          <w:sz w:val="20"/>
        </w:rPr>
      </w:pPr>
      <w:r>
        <w:rPr>
          <w:rFonts w:ascii="Times New Roman" w:hAnsi="Times New Roman" w:cs="Times New Roman"/>
          <w:kern w:val="0"/>
          <w:sz w:val="20"/>
        </w:rPr>
        <w:t xml:space="preserve">Reconduction n°1 : 1 année </w:t>
      </w:r>
    </w:p>
    <w:p w14:paraId="6DA420DD" w14:textId="77777777" w:rsidR="00F95737" w:rsidRDefault="00F95737" w:rsidP="00F95737">
      <w:pPr>
        <w:numPr>
          <w:ilvl w:val="0"/>
          <w:numId w:val="1"/>
        </w:numPr>
        <w:autoSpaceDE w:val="0"/>
        <w:autoSpaceDN w:val="0"/>
        <w:adjustRightInd w:val="0"/>
        <w:spacing w:after="0" w:line="240" w:lineRule="auto"/>
        <w:ind w:left="580" w:hanging="250"/>
        <w:rPr>
          <w:rFonts w:ascii="Times New Roman" w:hAnsi="Times New Roman" w:cs="Times New Roman"/>
          <w:kern w:val="0"/>
          <w:sz w:val="20"/>
        </w:rPr>
      </w:pPr>
      <w:r>
        <w:rPr>
          <w:rFonts w:ascii="Times New Roman" w:hAnsi="Times New Roman" w:cs="Times New Roman"/>
          <w:kern w:val="0"/>
          <w:sz w:val="20"/>
        </w:rPr>
        <w:t xml:space="preserve">Reconduction n°2 : 1 année </w:t>
      </w:r>
    </w:p>
    <w:p w14:paraId="4C8DB86B" w14:textId="77777777" w:rsidR="00F95737" w:rsidRDefault="00F95737" w:rsidP="00F95737">
      <w:pPr>
        <w:numPr>
          <w:ilvl w:val="0"/>
          <w:numId w:val="1"/>
        </w:numPr>
        <w:autoSpaceDE w:val="0"/>
        <w:autoSpaceDN w:val="0"/>
        <w:adjustRightInd w:val="0"/>
        <w:spacing w:after="0" w:line="240" w:lineRule="auto"/>
        <w:ind w:left="580" w:hanging="250"/>
        <w:rPr>
          <w:rFonts w:ascii="Times New Roman" w:hAnsi="Times New Roman" w:cs="Times New Roman"/>
          <w:kern w:val="0"/>
          <w:sz w:val="20"/>
        </w:rPr>
      </w:pPr>
      <w:r>
        <w:rPr>
          <w:rFonts w:ascii="Times New Roman" w:hAnsi="Times New Roman" w:cs="Times New Roman"/>
          <w:kern w:val="0"/>
          <w:sz w:val="20"/>
        </w:rPr>
        <w:t xml:space="preserve">Reconduction n°3 : 1 année </w:t>
      </w:r>
    </w:p>
    <w:p w14:paraId="73E8BDB4"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 </w:t>
      </w:r>
    </w:p>
    <w:p w14:paraId="42C2A49E"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p>
    <w:p w14:paraId="40320F8D"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Il n'est pas prévu de retenue de garantie.</w:t>
      </w:r>
    </w:p>
    <w:p w14:paraId="5B8B5901"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p>
    <w:p w14:paraId="0BE271D4"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Pour la période n°1 :</w:t>
      </w:r>
    </w:p>
    <w:p w14:paraId="09358C2A"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Il n'est pas prévu d'avance.</w:t>
      </w:r>
    </w:p>
    <w:p w14:paraId="664ED8EF"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Pour la période n°2 :</w:t>
      </w:r>
    </w:p>
    <w:p w14:paraId="79E53312"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Il n'est pas prévu d'avance.</w:t>
      </w:r>
    </w:p>
    <w:p w14:paraId="68E5291B"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Pour la période n°3 :</w:t>
      </w:r>
    </w:p>
    <w:p w14:paraId="3A66DC7B"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Il n'est pas prévu d'avance.</w:t>
      </w:r>
    </w:p>
    <w:p w14:paraId="17253533"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Pour la période n°4 :</w:t>
      </w:r>
    </w:p>
    <w:p w14:paraId="0976A931"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Il n'est pas prévu d'avance.</w:t>
      </w:r>
    </w:p>
    <w:p w14:paraId="2845711A"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p>
    <w:p w14:paraId="0B10C40C"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Interdiction de soumissionner</w:t>
      </w:r>
      <w:r>
        <w:rPr>
          <w:rFonts w:ascii="Times New Roman" w:hAnsi="Times New Roman" w:cs="Times New Roman"/>
          <w:kern w:val="0"/>
          <w:sz w:val="20"/>
        </w:rPr>
        <w:t xml:space="preserve"> </w:t>
      </w:r>
    </w:p>
    <w:p w14:paraId="1D3DAC6B"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L'acheteur, en vertu des articles L2141-7 à</w:t>
      </w:r>
      <w:r>
        <w:rPr>
          <w:rFonts w:ascii="Times New Roman" w:hAnsi="Times New Roman" w:cs="Times New Roman"/>
          <w:kern w:val="0"/>
          <w:sz w:val="20"/>
        </w:rPr>
        <w:t xml:space="preserve"> L2141-11 du code de la commande publique, peut exclure les candidatures se trouvant dans les situations qui y sont décrites, en particulier dans les cas qui suivent, sous réserve que dans un délai de 2 jours à compter de la réception d'un courrier l'y invitant, le candidat démontre qu'il a pris les mesures nécessaires pour corriger les manquements qui lui sont reprochés et, le cas échéant, que sa participation à la procédure de passation de l'accord-cadre public n'est pas susceptible de porter atteinte à l</w:t>
      </w:r>
      <w:r>
        <w:rPr>
          <w:rFonts w:ascii="Times New Roman" w:hAnsi="Times New Roman" w:cs="Times New Roman"/>
          <w:kern w:val="0"/>
          <w:sz w:val="20"/>
        </w:rPr>
        <w:t>'égalité de traitement.</w:t>
      </w:r>
    </w:p>
    <w:p w14:paraId="620C5737"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L'acheteur exclut les personnes qui, au cours des trois années précédentes, ont dû verser des dommages et intérêts, ont été sanctionnées par une résiliation ou ont fait l'objet d'une sanction comparable du fait d'un manquement grave ou persistant à leurs obligations contractuelles lors de l'exécution d'un accord-cadre public antérieur.</w:t>
      </w:r>
    </w:p>
    <w:p w14:paraId="0E7ACABA"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L'acheteur exclut les personnes qui, par leur candidature, créent une situation de conflit d'intérêts, lorsqu'il ne peut y être remédié par d'autres moyens. Constitue une situation de conflit d'intérêts toute situation dans laquelle une personne qui participe au déroulement de la procédure de passation de l'accord-cadre public ou est susceptible d'en influencer l'issue a, directement ou indirectement, un intérêt financier, économique ou tout autre intérêt personnel qui pourrait compromettre son impartialit</w:t>
      </w:r>
      <w:r>
        <w:rPr>
          <w:rFonts w:ascii="Times New Roman" w:hAnsi="Times New Roman" w:cs="Times New Roman"/>
          <w:kern w:val="0"/>
          <w:sz w:val="20"/>
        </w:rPr>
        <w:t>é ou son indépendance dans le cadre de la procédure de passation de l'accord-cadre public.</w:t>
      </w:r>
    </w:p>
    <w:p w14:paraId="17BFEAB5"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p>
    <w:p w14:paraId="389BF0E1"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Présentation de candidature :</w:t>
      </w:r>
      <w:r>
        <w:rPr>
          <w:rFonts w:ascii="Times New Roman" w:hAnsi="Times New Roman" w:cs="Times New Roman"/>
          <w:kern w:val="0"/>
          <w:sz w:val="20"/>
        </w:rPr>
        <w:t xml:space="preserve"> </w:t>
      </w:r>
    </w:p>
    <w:p w14:paraId="5174BA62"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Dépôt classique: La candidature peut être faite au moyen des formulaires DC1 et DC2 (formulaires à jour sur le site http://www.economie.gouv.fr/daj/formulaires-declaration-du-candidat) ou du DUME (document unique de marché européen, voir site :https://dume.chorus-pro.gouv.fr/).</w:t>
      </w:r>
    </w:p>
    <w:p w14:paraId="061F28DB"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Conditions de participation et moyens de preuve acceptables :</w:t>
      </w:r>
      <w:r>
        <w:rPr>
          <w:rFonts w:ascii="Times New Roman" w:hAnsi="Times New Roman" w:cs="Times New Roman"/>
          <w:kern w:val="0"/>
          <w:sz w:val="20"/>
        </w:rPr>
        <w:t xml:space="preserve"> </w:t>
      </w:r>
    </w:p>
    <w:p w14:paraId="746F1892"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 xml:space="preserve">Les documents et renseignements demandés par l'acheteur aux fins de vérification de l'aptitude à exercer l'activité professionnelle, de la capacité économique et financière et des capacités techniques et professionnelles du candidat sont: </w:t>
      </w:r>
    </w:p>
    <w:p w14:paraId="650E9006" w14:textId="77777777" w:rsidR="00F95737" w:rsidRDefault="00F95737">
      <w:pPr>
        <w:autoSpaceDE w:val="0"/>
        <w:autoSpaceDN w:val="0"/>
        <w:adjustRightInd w:val="0"/>
        <w:spacing w:before="100" w:after="100" w:line="240" w:lineRule="auto"/>
        <w:ind w:left="580"/>
        <w:jc w:val="both"/>
        <w:rPr>
          <w:rFonts w:ascii="Times New Roman" w:hAnsi="Times New Roman" w:cs="Times New Roman"/>
          <w:kern w:val="0"/>
          <w:sz w:val="20"/>
        </w:rPr>
      </w:pPr>
      <w:r>
        <w:rPr>
          <w:rFonts w:ascii="Times New Roman" w:hAnsi="Times New Roman" w:cs="Times New Roman"/>
          <w:b/>
          <w:kern w:val="0"/>
          <w:sz w:val="20"/>
        </w:rPr>
        <w:t>Capacité économique et financière :</w:t>
      </w:r>
      <w:r>
        <w:rPr>
          <w:rFonts w:ascii="Times New Roman" w:hAnsi="Times New Roman" w:cs="Times New Roman"/>
          <w:kern w:val="0"/>
          <w:sz w:val="20"/>
        </w:rPr>
        <w:t xml:space="preserve"> </w:t>
      </w:r>
    </w:p>
    <w:p w14:paraId="7AB82119" w14:textId="77777777" w:rsidR="00F95737" w:rsidRDefault="00F95737" w:rsidP="00F95737">
      <w:pPr>
        <w:numPr>
          <w:ilvl w:val="0"/>
          <w:numId w:val="2"/>
        </w:numPr>
        <w:autoSpaceDE w:val="0"/>
        <w:autoSpaceDN w:val="0"/>
        <w:adjustRightInd w:val="0"/>
        <w:spacing w:after="0" w:line="240" w:lineRule="auto"/>
        <w:ind w:left="580" w:hanging="250"/>
        <w:jc w:val="both"/>
        <w:rPr>
          <w:rFonts w:ascii="Times New Roman" w:hAnsi="Times New Roman" w:cs="Times New Roman"/>
          <w:kern w:val="0"/>
          <w:sz w:val="20"/>
        </w:rPr>
      </w:pPr>
      <w:r>
        <w:rPr>
          <w:rFonts w:ascii="Times New Roman" w:hAnsi="Times New Roman" w:cs="Times New Roman"/>
          <w:kern w:val="0"/>
          <w:sz w:val="20"/>
        </w:rPr>
        <w:t>Indications concernant le chiffre d'affaires annuel général sur 3 ans.</w:t>
      </w:r>
    </w:p>
    <w:p w14:paraId="04DAC402" w14:textId="77777777" w:rsidR="00F95737" w:rsidRDefault="00F95737" w:rsidP="00F95737">
      <w:pPr>
        <w:numPr>
          <w:ilvl w:val="0"/>
          <w:numId w:val="2"/>
        </w:numPr>
        <w:autoSpaceDE w:val="0"/>
        <w:autoSpaceDN w:val="0"/>
        <w:adjustRightInd w:val="0"/>
        <w:spacing w:after="0" w:line="240" w:lineRule="auto"/>
        <w:ind w:left="580" w:hanging="250"/>
        <w:jc w:val="both"/>
        <w:rPr>
          <w:rFonts w:ascii="Times New Roman" w:hAnsi="Times New Roman" w:cs="Times New Roman"/>
          <w:kern w:val="0"/>
          <w:sz w:val="20"/>
        </w:rPr>
      </w:pPr>
      <w:r>
        <w:rPr>
          <w:rFonts w:ascii="Times New Roman" w:hAnsi="Times New Roman" w:cs="Times New Roman"/>
          <w:b/>
          <w:kern w:val="0"/>
          <w:sz w:val="20"/>
        </w:rPr>
        <w:t>Capacité technique et professionnelle :</w:t>
      </w:r>
      <w:r>
        <w:rPr>
          <w:rFonts w:ascii="Times New Roman" w:hAnsi="Times New Roman" w:cs="Times New Roman"/>
          <w:kern w:val="0"/>
          <w:sz w:val="20"/>
        </w:rPr>
        <w:t xml:space="preserve"> </w:t>
      </w:r>
    </w:p>
    <w:p w14:paraId="579E2105" w14:textId="77777777" w:rsidR="00F95737" w:rsidRDefault="00F95737" w:rsidP="00F95737">
      <w:pPr>
        <w:numPr>
          <w:ilvl w:val="0"/>
          <w:numId w:val="2"/>
        </w:numPr>
        <w:autoSpaceDE w:val="0"/>
        <w:autoSpaceDN w:val="0"/>
        <w:adjustRightInd w:val="0"/>
        <w:spacing w:after="0" w:line="240" w:lineRule="auto"/>
        <w:ind w:left="580" w:hanging="250"/>
        <w:jc w:val="both"/>
        <w:rPr>
          <w:rFonts w:ascii="Times New Roman" w:hAnsi="Times New Roman" w:cs="Times New Roman"/>
          <w:kern w:val="0"/>
          <w:sz w:val="20"/>
        </w:rPr>
      </w:pPr>
      <w:r>
        <w:rPr>
          <w:rFonts w:ascii="Times New Roman" w:hAnsi="Times New Roman" w:cs="Times New Roman"/>
          <w:kern w:val="0"/>
          <w:sz w:val="20"/>
        </w:rPr>
        <w:t>Références des principales fournitures ou des principaux services fournis sur 3 ans.</w:t>
      </w:r>
    </w:p>
    <w:p w14:paraId="6865A1AB" w14:textId="77777777" w:rsidR="00F95737" w:rsidRDefault="00F95737" w:rsidP="00F95737">
      <w:pPr>
        <w:numPr>
          <w:ilvl w:val="0"/>
          <w:numId w:val="2"/>
        </w:numPr>
        <w:autoSpaceDE w:val="0"/>
        <w:autoSpaceDN w:val="0"/>
        <w:adjustRightInd w:val="0"/>
        <w:spacing w:after="0" w:line="240" w:lineRule="auto"/>
        <w:ind w:left="580" w:hanging="250"/>
        <w:jc w:val="both"/>
        <w:rPr>
          <w:rFonts w:ascii="Times New Roman" w:hAnsi="Times New Roman" w:cs="Times New Roman"/>
          <w:kern w:val="0"/>
          <w:sz w:val="20"/>
        </w:rPr>
      </w:pPr>
      <w:r>
        <w:rPr>
          <w:rFonts w:ascii="Times New Roman" w:hAnsi="Times New Roman" w:cs="Times New Roman"/>
          <w:kern w:val="0"/>
          <w:sz w:val="20"/>
        </w:rPr>
        <w:t>Titres d'études et professionnels exigés du prestataire de services ou du contractant lui-même</w:t>
      </w:r>
    </w:p>
    <w:p w14:paraId="1DF809B2"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lastRenderedPageBreak/>
        <w:t> </w:t>
      </w:r>
    </w:p>
    <w:p w14:paraId="4F98ACB5"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p>
    <w:p w14:paraId="2F267AB0"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Procédure :</w:t>
      </w:r>
      <w:r>
        <w:rPr>
          <w:rFonts w:ascii="Times New Roman" w:hAnsi="Times New Roman" w:cs="Times New Roman"/>
          <w:kern w:val="0"/>
          <w:sz w:val="20"/>
        </w:rPr>
        <w:t xml:space="preserve"> MAPA ouvert</w:t>
      </w:r>
    </w:p>
    <w:p w14:paraId="723D9118"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p>
    <w:p w14:paraId="3EF439C8" w14:textId="77777777" w:rsidR="00F95737" w:rsidRDefault="00F95737">
      <w:pPr>
        <w:autoSpaceDE w:val="0"/>
        <w:autoSpaceDN w:val="0"/>
        <w:adjustRightInd w:val="0"/>
        <w:spacing w:after="0" w:line="240" w:lineRule="auto"/>
        <w:jc w:val="both"/>
        <w:rPr>
          <w:rFonts w:ascii="Times New Roman" w:hAnsi="Times New Roman" w:cs="Times New Roman"/>
          <w:b/>
          <w:kern w:val="0"/>
          <w:sz w:val="20"/>
        </w:rPr>
      </w:pPr>
      <w:r>
        <w:rPr>
          <w:rFonts w:ascii="Times New Roman" w:hAnsi="Times New Roman" w:cs="Times New Roman"/>
          <w:b/>
          <w:kern w:val="0"/>
          <w:sz w:val="20"/>
        </w:rPr>
        <w:t>Critères d'attribution</w:t>
      </w:r>
    </w:p>
    <w:p w14:paraId="3A59956F"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Le classement des offres et le choix du/des attributaire(s) sont fondés sur l'offre économiquement la plus avantageuse appréciée en fonction des critères pondérés énoncés ci-dessous :</w:t>
      </w:r>
    </w:p>
    <w:p w14:paraId="19C68CC2"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p>
    <w:p w14:paraId="7112A240"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1.</w:t>
      </w:r>
      <w:r>
        <w:rPr>
          <w:rFonts w:ascii="Times New Roman" w:hAnsi="Times New Roman" w:cs="Times New Roman"/>
          <w:kern w:val="0"/>
          <w:sz w:val="20"/>
        </w:rPr>
        <w:t xml:space="preserve"> Critère Prix des prestations</w:t>
      </w:r>
    </w:p>
    <w:p w14:paraId="72E75ECB"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pondéré à 50 sur 100 points.</w:t>
      </w:r>
    </w:p>
    <w:p w14:paraId="312C812A"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p>
    <w:p w14:paraId="136405FF"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2.</w:t>
      </w:r>
      <w:r>
        <w:rPr>
          <w:rFonts w:ascii="Times New Roman" w:hAnsi="Times New Roman" w:cs="Times New Roman"/>
          <w:kern w:val="0"/>
          <w:sz w:val="20"/>
        </w:rPr>
        <w:t xml:space="preserve"> Critère Valeur technique</w:t>
      </w:r>
    </w:p>
    <w:p w14:paraId="7F46C406"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pondéré à 50 sur 100 points.</w:t>
      </w:r>
    </w:p>
    <w:p w14:paraId="58DB29D1"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p>
    <w:p w14:paraId="6AE018B4"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2.1</w:t>
      </w:r>
      <w:r>
        <w:rPr>
          <w:rFonts w:ascii="Times New Roman" w:hAnsi="Times New Roman" w:cs="Times New Roman"/>
          <w:kern w:val="0"/>
          <w:sz w:val="20"/>
        </w:rPr>
        <w:t>. Sous-critère Démarche qualité pondéré à</w:t>
      </w:r>
    </w:p>
    <w:p w14:paraId="3220B32B"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5 sur 50 points.</w:t>
      </w:r>
    </w:p>
    <w:p w14:paraId="2B86432D"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Organisation de la gestion de la qualité de la prestation.</w:t>
      </w:r>
    </w:p>
    <w:p w14:paraId="58CBE4EC"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2.2</w:t>
      </w:r>
      <w:r>
        <w:rPr>
          <w:rFonts w:ascii="Times New Roman" w:hAnsi="Times New Roman" w:cs="Times New Roman"/>
          <w:kern w:val="0"/>
          <w:sz w:val="20"/>
        </w:rPr>
        <w:t>. Sous-critère Gestion de la sécurité pondéré à</w:t>
      </w:r>
    </w:p>
    <w:p w14:paraId="211A07D4"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10 sur 50 points.</w:t>
      </w:r>
    </w:p>
    <w:p w14:paraId="7EAB1E89"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Organisations prévues pour gérer la sécurité, gestion des problèmes de sécurité.</w:t>
      </w:r>
    </w:p>
    <w:p w14:paraId="05BF7BC3"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2.3</w:t>
      </w:r>
      <w:r>
        <w:rPr>
          <w:rFonts w:ascii="Times New Roman" w:hAnsi="Times New Roman" w:cs="Times New Roman"/>
          <w:kern w:val="0"/>
          <w:sz w:val="20"/>
        </w:rPr>
        <w:t>. Sous-critère Moyens humains et adaptation au chantier pondéré à</w:t>
      </w:r>
    </w:p>
    <w:p w14:paraId="1DFBA369"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10 sur 50 points.</w:t>
      </w:r>
    </w:p>
    <w:p w14:paraId="59B8B621"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Listing du personnel et qualifications.</w:t>
      </w:r>
    </w:p>
    <w:p w14:paraId="1E2FF8AA"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2.4</w:t>
      </w:r>
      <w:r>
        <w:rPr>
          <w:rFonts w:ascii="Times New Roman" w:hAnsi="Times New Roman" w:cs="Times New Roman"/>
          <w:kern w:val="0"/>
          <w:sz w:val="20"/>
        </w:rPr>
        <w:t>. Sous-critère Moyens matériels et adaptation au chantier pondéré à</w:t>
      </w:r>
    </w:p>
    <w:p w14:paraId="31636215"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10 sur 50 points.</w:t>
      </w:r>
    </w:p>
    <w:p w14:paraId="4CB68EAE"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Liste du matériel, entretien et renouvellement.</w:t>
      </w:r>
    </w:p>
    <w:p w14:paraId="128C74E4"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2.5</w:t>
      </w:r>
      <w:r>
        <w:rPr>
          <w:rFonts w:ascii="Times New Roman" w:hAnsi="Times New Roman" w:cs="Times New Roman"/>
          <w:kern w:val="0"/>
          <w:sz w:val="20"/>
        </w:rPr>
        <w:t>. Sous-critère Organisation pondéré à</w:t>
      </w:r>
    </w:p>
    <w:p w14:paraId="316D13D7"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10 sur 50 points.</w:t>
      </w:r>
    </w:p>
    <w:p w14:paraId="409EDDBF"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Description de l'organisation prévue pour réaliser le programme, et gestion des problèmes rencontrés.</w:t>
      </w:r>
    </w:p>
    <w:p w14:paraId="29ADBC88"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2.6</w:t>
      </w:r>
      <w:r>
        <w:rPr>
          <w:rFonts w:ascii="Times New Roman" w:hAnsi="Times New Roman" w:cs="Times New Roman"/>
          <w:kern w:val="0"/>
          <w:sz w:val="20"/>
        </w:rPr>
        <w:t>. Sous-critère Protection de l'environnement et gestion des déchets pondéré à</w:t>
      </w:r>
    </w:p>
    <w:p w14:paraId="09268693"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5 sur 50 points.</w:t>
      </w:r>
    </w:p>
    <w:p w14:paraId="26056EB9"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Description de l'organisation sur la gestion des déchets.</w:t>
      </w:r>
    </w:p>
    <w:p w14:paraId="39758753"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p>
    <w:p w14:paraId="6CD54601"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p>
    <w:p w14:paraId="4CEB7FCF"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Renseignements d'ordre administratif :</w:t>
      </w:r>
      <w:r>
        <w:rPr>
          <w:rFonts w:ascii="Times New Roman" w:hAnsi="Times New Roman" w:cs="Times New Roman"/>
          <w:kern w:val="0"/>
          <w:sz w:val="20"/>
        </w:rPr>
        <w:t xml:space="preserve"> </w:t>
      </w:r>
    </w:p>
    <w:p w14:paraId="01931453"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Numéro de réfé</w:t>
      </w:r>
      <w:r>
        <w:rPr>
          <w:rFonts w:ascii="Times New Roman" w:hAnsi="Times New Roman" w:cs="Times New Roman"/>
          <w:kern w:val="0"/>
          <w:sz w:val="20"/>
        </w:rPr>
        <w:t>rence de l'accord-cadre : 18_042-Balayage2025_2029</w:t>
      </w:r>
    </w:p>
    <w:p w14:paraId="027F6BC1"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La présente consultation est une consultation initiale.</w:t>
      </w:r>
    </w:p>
    <w:p w14:paraId="6D55760C"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i/>
          <w:kern w:val="0"/>
          <w:sz w:val="20"/>
        </w:rPr>
        <w:t>Date d'envoi du présent avis à la publication :</w:t>
      </w:r>
      <w:r>
        <w:rPr>
          <w:rFonts w:ascii="Times New Roman" w:hAnsi="Times New Roman" w:cs="Times New Roman"/>
          <w:kern w:val="0"/>
          <w:sz w:val="20"/>
        </w:rPr>
        <w:t xml:space="preserve"> 23/10/2024</w:t>
      </w:r>
    </w:p>
    <w:p w14:paraId="029E92C6"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i/>
          <w:kern w:val="0"/>
          <w:sz w:val="20"/>
        </w:rPr>
        <w:t>Date limite de réception des offres :</w:t>
      </w:r>
      <w:r>
        <w:rPr>
          <w:rFonts w:ascii="Times New Roman" w:hAnsi="Times New Roman" w:cs="Times New Roman"/>
          <w:kern w:val="0"/>
          <w:sz w:val="20"/>
        </w:rPr>
        <w:t xml:space="preserve"> 02/12/2024 à 12:00</w:t>
      </w:r>
    </w:p>
    <w:p w14:paraId="18716A28"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Le soumissionnaire est tenu de maintenir son offre pendant un délai de 90 jours à compter de la date limite de réception des offres.</w:t>
      </w:r>
    </w:p>
    <w:p w14:paraId="52024B29"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p>
    <w:p w14:paraId="3D0A5171"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p>
    <w:p w14:paraId="4FE324F5" w14:textId="77777777" w:rsidR="00F95737" w:rsidRDefault="00F95737">
      <w:pPr>
        <w:autoSpaceDE w:val="0"/>
        <w:autoSpaceDN w:val="0"/>
        <w:adjustRightInd w:val="0"/>
        <w:spacing w:after="0" w:line="240" w:lineRule="auto"/>
        <w:jc w:val="both"/>
        <w:rPr>
          <w:rFonts w:ascii="Times New Roman" w:hAnsi="Times New Roman" w:cs="Times New Roman"/>
          <w:b/>
          <w:kern w:val="0"/>
          <w:sz w:val="20"/>
        </w:rPr>
      </w:pPr>
      <w:r>
        <w:rPr>
          <w:rFonts w:ascii="Times New Roman" w:hAnsi="Times New Roman" w:cs="Times New Roman"/>
          <w:b/>
          <w:kern w:val="0"/>
          <w:sz w:val="20"/>
        </w:rPr>
        <w:t>Délivrance du DCE</w:t>
      </w:r>
    </w:p>
    <w:p w14:paraId="580D9ABA"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Le dossier de consultation est téléchargeable sur le profil d'acheteur.</w:t>
      </w:r>
    </w:p>
    <w:p w14:paraId="1CF5B59A"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p>
    <w:p w14:paraId="19449B3B"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p>
    <w:p w14:paraId="7803E871" w14:textId="77777777" w:rsidR="00F95737" w:rsidRDefault="00F95737">
      <w:pPr>
        <w:autoSpaceDE w:val="0"/>
        <w:autoSpaceDN w:val="0"/>
        <w:adjustRightInd w:val="0"/>
        <w:spacing w:after="0" w:line="240" w:lineRule="auto"/>
        <w:jc w:val="both"/>
        <w:rPr>
          <w:rFonts w:ascii="Times New Roman" w:hAnsi="Times New Roman" w:cs="Times New Roman"/>
          <w:b/>
          <w:kern w:val="0"/>
          <w:sz w:val="20"/>
        </w:rPr>
      </w:pPr>
      <w:r>
        <w:rPr>
          <w:rFonts w:ascii="Times New Roman" w:hAnsi="Times New Roman" w:cs="Times New Roman"/>
          <w:b/>
          <w:kern w:val="0"/>
          <w:sz w:val="20"/>
        </w:rPr>
        <w:t>Modalités essentielles de financement et de paiement :</w:t>
      </w:r>
    </w:p>
    <w:p w14:paraId="48F9383A"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Le délai global de paiement des prestations est fixé à 30 jours.</w:t>
      </w:r>
    </w:p>
    <w:p w14:paraId="1BEEE89B"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Règlement par règlement par mandat administratif et virement du service public.</w:t>
      </w:r>
    </w:p>
    <w:p w14:paraId="375E4C7D"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Modalités de financement des prestations : auto-financement</w:t>
      </w:r>
    </w:p>
    <w:p w14:paraId="37A92A82"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subventions.</w:t>
      </w:r>
    </w:p>
    <w:p w14:paraId="6FD0818F"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p>
    <w:p w14:paraId="2D073DF7"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p>
    <w:p w14:paraId="09E0FFAE" w14:textId="77777777" w:rsidR="00F95737" w:rsidRDefault="00F95737">
      <w:pPr>
        <w:autoSpaceDE w:val="0"/>
        <w:autoSpaceDN w:val="0"/>
        <w:adjustRightInd w:val="0"/>
        <w:spacing w:after="0" w:line="240" w:lineRule="auto"/>
        <w:jc w:val="both"/>
        <w:rPr>
          <w:rFonts w:ascii="Times New Roman" w:hAnsi="Times New Roman" w:cs="Times New Roman"/>
          <w:b/>
          <w:kern w:val="0"/>
          <w:sz w:val="20"/>
        </w:rPr>
      </w:pPr>
      <w:r>
        <w:rPr>
          <w:rFonts w:ascii="Times New Roman" w:hAnsi="Times New Roman" w:cs="Times New Roman"/>
          <w:b/>
          <w:kern w:val="0"/>
          <w:sz w:val="20"/>
        </w:rPr>
        <w:t>Avis périodique :</w:t>
      </w:r>
    </w:p>
    <w:p w14:paraId="17BD6C9D"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Il ne s'agit pas d'un accord-cadre périodique.</w:t>
      </w:r>
    </w:p>
    <w:p w14:paraId="58FC7190"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p>
    <w:p w14:paraId="679D99CC"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 xml:space="preserve">Informations sur les reconductions : </w:t>
      </w:r>
      <w:r>
        <w:rPr>
          <w:rFonts w:ascii="Times New Roman" w:hAnsi="Times New Roman" w:cs="Times New Roman"/>
          <w:kern w:val="0"/>
          <w:sz w:val="20"/>
        </w:rPr>
        <w:t xml:space="preserve">L'accord cadre sera reconduit trois fois par tacite reconduction sauf décision du maître d'ouvrage notifiée 1 mois avant l'échéance par courrier recommandé ou remis en main propre </w:t>
      </w:r>
      <w:r>
        <w:rPr>
          <w:rFonts w:ascii="Times New Roman" w:hAnsi="Times New Roman" w:cs="Times New Roman"/>
          <w:kern w:val="0"/>
          <w:sz w:val="20"/>
        </w:rPr>
        <w:lastRenderedPageBreak/>
        <w:t>au titulaire</w:t>
      </w:r>
      <w:r>
        <w:rPr>
          <w:rFonts w:ascii="Times New Roman" w:hAnsi="Times New Roman" w:cs="Times New Roman"/>
          <w:b/>
          <w:kern w:val="0"/>
          <w:sz w:val="20"/>
        </w:rPr>
        <w:t>Forme juridique que devra revêtir le groupement d'opérateurs économiques attributaire de l'accord-cadre :</w:t>
      </w:r>
      <w:r>
        <w:rPr>
          <w:rFonts w:ascii="Times New Roman" w:hAnsi="Times New Roman" w:cs="Times New Roman"/>
          <w:kern w:val="0"/>
          <w:sz w:val="20"/>
        </w:rPr>
        <w:t xml:space="preserve"> Après attribution, aucune forme de groupement ne sera exigée.</w:t>
      </w:r>
    </w:p>
    <w:p w14:paraId="242203F3"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p>
    <w:p w14:paraId="47FE36C7"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La même entreprise ne peut pas présenter pour l'accord-cadre ou un de ses lots plusieurs offres, en agissant à la fois :</w:t>
      </w:r>
    </w:p>
    <w:p w14:paraId="7E883E4A" w14:textId="77777777" w:rsidR="00F95737" w:rsidRDefault="00F95737" w:rsidP="00F95737">
      <w:pPr>
        <w:numPr>
          <w:ilvl w:val="0"/>
          <w:numId w:val="1"/>
        </w:numPr>
        <w:autoSpaceDE w:val="0"/>
        <w:autoSpaceDN w:val="0"/>
        <w:adjustRightInd w:val="0"/>
        <w:spacing w:after="0" w:line="240" w:lineRule="auto"/>
        <w:ind w:left="580" w:hanging="250"/>
        <w:jc w:val="both"/>
        <w:rPr>
          <w:rFonts w:ascii="Times New Roman" w:hAnsi="Times New Roman" w:cs="Times New Roman"/>
          <w:kern w:val="0"/>
          <w:sz w:val="20"/>
        </w:rPr>
      </w:pPr>
      <w:r>
        <w:rPr>
          <w:rFonts w:ascii="Times New Roman" w:hAnsi="Times New Roman" w:cs="Times New Roman"/>
          <w:kern w:val="0"/>
          <w:sz w:val="20"/>
        </w:rPr>
        <w:t>en qualité de candidat individuel et de membre d'un ou plusieurs groupements ;</w:t>
      </w:r>
    </w:p>
    <w:p w14:paraId="4BCAA075" w14:textId="77777777" w:rsidR="00F95737" w:rsidRDefault="00F95737" w:rsidP="00F95737">
      <w:pPr>
        <w:numPr>
          <w:ilvl w:val="0"/>
          <w:numId w:val="1"/>
        </w:numPr>
        <w:autoSpaceDE w:val="0"/>
        <w:autoSpaceDN w:val="0"/>
        <w:adjustRightInd w:val="0"/>
        <w:spacing w:after="0" w:line="240" w:lineRule="auto"/>
        <w:ind w:left="580" w:hanging="250"/>
        <w:jc w:val="both"/>
        <w:rPr>
          <w:rFonts w:ascii="Times New Roman" w:hAnsi="Times New Roman" w:cs="Times New Roman"/>
          <w:kern w:val="0"/>
          <w:sz w:val="20"/>
        </w:rPr>
      </w:pPr>
      <w:r>
        <w:rPr>
          <w:rFonts w:ascii="Times New Roman" w:hAnsi="Times New Roman" w:cs="Times New Roman"/>
          <w:kern w:val="0"/>
          <w:sz w:val="20"/>
        </w:rPr>
        <w:t>en qualité de membre de plusieurs groupements.</w:t>
      </w:r>
    </w:p>
    <w:p w14:paraId="377A80D8"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 </w:t>
      </w:r>
    </w:p>
    <w:p w14:paraId="71ADBE39"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Instance chargée des procédures de recours :</w:t>
      </w:r>
      <w:r>
        <w:rPr>
          <w:rFonts w:ascii="Times New Roman" w:hAnsi="Times New Roman" w:cs="Times New Roman"/>
          <w:kern w:val="0"/>
          <w:sz w:val="20"/>
        </w:rPr>
        <w:t xml:space="preserve"> </w:t>
      </w:r>
    </w:p>
    <w:p w14:paraId="31679628"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Tribuna</w:t>
      </w:r>
      <w:r>
        <w:rPr>
          <w:rFonts w:ascii="Times New Roman" w:hAnsi="Times New Roman" w:cs="Times New Roman"/>
          <w:kern w:val="0"/>
          <w:sz w:val="20"/>
        </w:rPr>
        <w:t>l Administratif d'Amiens</w:t>
      </w:r>
    </w:p>
    <w:p w14:paraId="6DF84356"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p>
    <w:p w14:paraId="683C2D08"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 xml:space="preserve">Introduction des recours : </w:t>
      </w:r>
      <w:r>
        <w:rPr>
          <w:rFonts w:ascii="Times New Roman" w:hAnsi="Times New Roman" w:cs="Times New Roman"/>
          <w:kern w:val="0"/>
          <w:sz w:val="20"/>
        </w:rPr>
        <w:t xml:space="preserve"> Les délais d'introduction des recours est de 2 mois....</w:t>
      </w:r>
    </w:p>
    <w:p w14:paraId="6798703C"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p>
    <w:p w14:paraId="5E168FF4"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p>
    <w:p w14:paraId="229D5B89" w14:textId="77777777" w:rsidR="00F95737" w:rsidRDefault="00F95737">
      <w:pPr>
        <w:autoSpaceDE w:val="0"/>
        <w:autoSpaceDN w:val="0"/>
        <w:adjustRightInd w:val="0"/>
        <w:spacing w:after="0" w:line="240" w:lineRule="auto"/>
        <w:jc w:val="both"/>
        <w:rPr>
          <w:rFonts w:ascii="Times New Roman" w:hAnsi="Times New Roman" w:cs="Times New Roman"/>
          <w:b/>
          <w:kern w:val="0"/>
          <w:sz w:val="20"/>
        </w:rPr>
      </w:pPr>
      <w:r>
        <w:rPr>
          <w:rFonts w:ascii="Times New Roman" w:hAnsi="Times New Roman" w:cs="Times New Roman"/>
          <w:b/>
          <w:kern w:val="0"/>
          <w:sz w:val="20"/>
        </w:rPr>
        <w:t>Conditions de remise des candidatures</w:t>
      </w:r>
    </w:p>
    <w:p w14:paraId="09CD4CB9"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La transmission des candidatures se fait obligatoirement par voie électronique via le profil d'acheteur : https://www.picardiegazette.fr/marches-publics/.</w:t>
      </w:r>
    </w:p>
    <w:p w14:paraId="2405004B"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Un mode d'emploi est disponible sur le site. Les frais d'accès au réseau sont à la charge des candidats.</w:t>
      </w:r>
    </w:p>
    <w:p w14:paraId="6EE901BA"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La remise des candidatures contre récépissé n'est pas autorisée.</w:t>
      </w:r>
    </w:p>
    <w:p w14:paraId="7BF43D85"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La présentation d'une candidature sous forme d'un support physique électronique n'est pas autorisée.</w:t>
      </w:r>
    </w:p>
    <w:p w14:paraId="63E90862"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L'envoi des candidatures par voie postale n'est pas autorisé.</w:t>
      </w:r>
    </w:p>
    <w:p w14:paraId="7DF3752F"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p>
    <w:p w14:paraId="7FE38741"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p>
    <w:p w14:paraId="56C8BA21" w14:textId="77777777" w:rsidR="00F95737" w:rsidRDefault="00F95737">
      <w:pPr>
        <w:autoSpaceDE w:val="0"/>
        <w:autoSpaceDN w:val="0"/>
        <w:adjustRightInd w:val="0"/>
        <w:spacing w:after="0" w:line="240" w:lineRule="auto"/>
        <w:jc w:val="both"/>
        <w:rPr>
          <w:rFonts w:ascii="Times New Roman" w:hAnsi="Times New Roman" w:cs="Times New Roman"/>
          <w:b/>
          <w:kern w:val="0"/>
          <w:sz w:val="20"/>
        </w:rPr>
      </w:pPr>
      <w:r>
        <w:rPr>
          <w:rFonts w:ascii="Times New Roman" w:hAnsi="Times New Roman" w:cs="Times New Roman"/>
          <w:b/>
          <w:kern w:val="0"/>
          <w:sz w:val="20"/>
        </w:rPr>
        <w:t>Signature des documents transmis par le candidat</w:t>
      </w:r>
    </w:p>
    <w:p w14:paraId="6D996505"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Il n'est pas exigé des candidats que l'acte d'engagement soit signé(e) au stade de la réception des offres. Seul l'attributaire devra impérativement signer électroniquement l'acte d'engagement.</w:t>
      </w:r>
    </w:p>
    <w:p w14:paraId="30C55346"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En cas de groupement l'acte d'engagement sera signé</w:t>
      </w:r>
      <w:r>
        <w:rPr>
          <w:rFonts w:ascii="Times New Roman" w:hAnsi="Times New Roman" w:cs="Times New Roman"/>
          <w:kern w:val="0"/>
          <w:sz w:val="20"/>
        </w:rPr>
        <w:t>(e) par chaque membre du groupement ou par le mandataire dument habilité par un document d'habilitation (copie de la convention de groupement ou acte spécifique d'habilitation). La production d'un document d'habilitation, signé de façon électronique par chaque membre du groupement, sera exigé du seul attributaire.</w:t>
      </w:r>
    </w:p>
    <w:p w14:paraId="1D1871FC"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L'obligation de signature électronique se fait conformément aux conditions fixées par l'arrêté du 22 mars 2019 relatif à la signature électronique des contrats de la commande publique.</w:t>
      </w:r>
    </w:p>
    <w:p w14:paraId="4DD983F2" w14:textId="77777777" w:rsidR="00F95737" w:rsidRDefault="00F95737">
      <w:pPr>
        <w:autoSpaceDE w:val="0"/>
        <w:autoSpaceDN w:val="0"/>
        <w:adjustRightInd w:val="0"/>
        <w:spacing w:after="0" w:line="240" w:lineRule="auto"/>
        <w:jc w:val="both"/>
        <w:rPr>
          <w:rFonts w:ascii="Times New Roman" w:hAnsi="Times New Roman" w:cs="Times New Roman"/>
          <w:b/>
          <w:kern w:val="0"/>
          <w:sz w:val="20"/>
        </w:rPr>
      </w:pPr>
      <w:r>
        <w:rPr>
          <w:rFonts w:ascii="Times New Roman" w:hAnsi="Times New Roman" w:cs="Times New Roman"/>
          <w:b/>
          <w:kern w:val="0"/>
          <w:sz w:val="20"/>
        </w:rPr>
        <w:t>Autres Informations</w:t>
      </w:r>
    </w:p>
    <w:p w14:paraId="2CA7CBFB" w14:textId="77777777" w:rsidR="00F95737" w:rsidRDefault="00F95737">
      <w:pPr>
        <w:autoSpaceDE w:val="0"/>
        <w:autoSpaceDN w:val="0"/>
        <w:adjustRightInd w:val="0"/>
        <w:spacing w:after="0" w:line="240" w:lineRule="auto"/>
        <w:jc w:val="both"/>
        <w:rPr>
          <w:rFonts w:ascii="Times New Roman" w:hAnsi="Times New Roman" w:cs="Times New Roman"/>
          <w:b/>
          <w:kern w:val="0"/>
          <w:sz w:val="20"/>
        </w:rPr>
      </w:pPr>
      <w:r>
        <w:rPr>
          <w:rFonts w:ascii="Times New Roman" w:hAnsi="Times New Roman" w:cs="Times New Roman"/>
          <w:b/>
          <w:kern w:val="0"/>
          <w:sz w:val="20"/>
        </w:rPr>
        <w:t>Les candidats ne sont pas tenus de fournir les documents et renseignements qu'ils ont déjà transmis dans une précédente consultation et qui demeurent valables.</w:t>
      </w:r>
    </w:p>
    <w:p w14:paraId="3C4939B2" w14:textId="77777777" w:rsidR="00F95737" w:rsidRDefault="00F95737">
      <w:pPr>
        <w:autoSpaceDE w:val="0"/>
        <w:autoSpaceDN w:val="0"/>
        <w:adjustRightInd w:val="0"/>
        <w:spacing w:after="0" w:line="240" w:lineRule="auto"/>
        <w:jc w:val="both"/>
        <w:rPr>
          <w:rFonts w:ascii="Times New Roman" w:hAnsi="Times New Roman" w:cs="Times New Roman"/>
          <w:b/>
          <w:kern w:val="0"/>
          <w:sz w:val="20"/>
        </w:rPr>
      </w:pPr>
    </w:p>
    <w:p w14:paraId="60372F83"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 xml:space="preserve">Renseignements complémentaires </w:t>
      </w:r>
      <w:r>
        <w:rPr>
          <w:rFonts w:ascii="Times New Roman" w:hAnsi="Times New Roman" w:cs="Times New Roman"/>
          <w:kern w:val="0"/>
          <w:sz w:val="20"/>
        </w:rPr>
        <w:t xml:space="preserve"> </w:t>
      </w:r>
    </w:p>
    <w:p w14:paraId="4026AA3A"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Pour obtenir tous les renseignements complémentaires qui leur seraient nécessaires au cours de leur étude, les candidats devront faire parvenir une demande au moyen du profil d'acheteur au plus tard 7 jours avant la date limite de réception des plis.</w:t>
      </w:r>
    </w:p>
    <w:p w14:paraId="265D53A8"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p>
    <w:p w14:paraId="655F0CAD"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p>
    <w:p w14:paraId="0A762EFA" w14:textId="77777777" w:rsidR="00F95737" w:rsidRDefault="00F95737">
      <w:pPr>
        <w:autoSpaceDE w:val="0"/>
        <w:autoSpaceDN w:val="0"/>
        <w:adjustRightInd w:val="0"/>
        <w:spacing w:after="0" w:line="240" w:lineRule="auto"/>
        <w:jc w:val="both"/>
        <w:rPr>
          <w:rFonts w:ascii="Times New Roman" w:hAnsi="Times New Roman" w:cs="Times New Roman"/>
          <w:kern w:val="0"/>
          <w:sz w:val="20"/>
        </w:rPr>
      </w:pPr>
    </w:p>
    <w:sectPr w:rsidR="00000000" w:rsidSect="00316E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2B4C48E8"/>
    <w:lvl w:ilvl="0">
      <w:numFmt w:val="bullet"/>
      <w:lvlText w:val="*"/>
      <w:lvlJc w:val="left"/>
    </w:lvl>
  </w:abstractNum>
  <w:num w:numId="1" w16cid:durableId="812678576">
    <w:abstractNumId w:val="0"/>
    <w:lvlOverride w:ilvl="0">
      <w:lvl w:ilvl="0">
        <w:numFmt w:val="bullet"/>
        <w:lvlText w:val=""/>
        <w:legacy w:legacy="1" w:legacySpace="0" w:legacyIndent="0"/>
        <w:lvlJc w:val="left"/>
        <w:rPr>
          <w:rFonts w:ascii="Symbol" w:hAnsi="Symbol" w:hint="default"/>
        </w:rPr>
      </w:lvl>
    </w:lvlOverride>
  </w:num>
  <w:num w:numId="2" w16cid:durableId="488182104">
    <w:abstractNumId w:val="0"/>
    <w:lvlOverride w:ilvl="0">
      <w:lvl w:ilvl="0">
        <w:numFmt w:val="bullet"/>
        <w:lvlText w:val="§"/>
        <w:legacy w:legacy="1" w:legacySpace="0" w:legacyIndent="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3"/>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C21"/>
    <w:rsid w:val="000052F4"/>
    <w:rsid w:val="00066EED"/>
    <w:rsid w:val="00071EC1"/>
    <w:rsid w:val="000F7FC0"/>
    <w:rsid w:val="00111EA7"/>
    <w:rsid w:val="00217333"/>
    <w:rsid w:val="00226B72"/>
    <w:rsid w:val="002E3087"/>
    <w:rsid w:val="0031614D"/>
    <w:rsid w:val="00316E92"/>
    <w:rsid w:val="00345E19"/>
    <w:rsid w:val="00383C31"/>
    <w:rsid w:val="003B0E35"/>
    <w:rsid w:val="00470E18"/>
    <w:rsid w:val="004B08F0"/>
    <w:rsid w:val="00546478"/>
    <w:rsid w:val="00587D54"/>
    <w:rsid w:val="005B643D"/>
    <w:rsid w:val="005F1C0E"/>
    <w:rsid w:val="0062534C"/>
    <w:rsid w:val="0075789C"/>
    <w:rsid w:val="007C5F6D"/>
    <w:rsid w:val="00820B50"/>
    <w:rsid w:val="008C78C7"/>
    <w:rsid w:val="008D1F5A"/>
    <w:rsid w:val="0093401D"/>
    <w:rsid w:val="009913F2"/>
    <w:rsid w:val="009A0DD5"/>
    <w:rsid w:val="009A722F"/>
    <w:rsid w:val="00AA1D2E"/>
    <w:rsid w:val="00AD3F46"/>
    <w:rsid w:val="00C16707"/>
    <w:rsid w:val="00C406E7"/>
    <w:rsid w:val="00CE4C21"/>
    <w:rsid w:val="00D00868"/>
    <w:rsid w:val="00D872B4"/>
    <w:rsid w:val="00DA0D34"/>
    <w:rsid w:val="00E52643"/>
    <w:rsid w:val="00F95737"/>
    <w:rsid w:val="00FF24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2B48EDC"/>
  <w14:defaultImageDpi w14:val="0"/>
  <w15:docId w15:val="{40707891-4775-E742-ADF0-6CD756BA0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544E663AC80C4DAA09C6345ED88E6D" ma:contentTypeVersion="18" ma:contentTypeDescription="Crée un document." ma:contentTypeScope="" ma:versionID="e494476aa9a8ac14b32f0993af282aa8">
  <xsd:schema xmlns:xsd="http://www.w3.org/2001/XMLSchema" xmlns:xs="http://www.w3.org/2001/XMLSchema" xmlns:p="http://schemas.microsoft.com/office/2006/metadata/properties" xmlns:ns2="f3f94ec8-1dfd-4c46-bd87-963d4f74876b" xmlns:ns3="534cd3af-974d-4817-b445-b80af09b3bd7" targetNamespace="http://schemas.microsoft.com/office/2006/metadata/properties" ma:root="true" ma:fieldsID="61d2696adad2defa04b43d1b336908b8" ns2:_="" ns3:_="">
    <xsd:import namespace="f3f94ec8-1dfd-4c46-bd87-963d4f74876b"/>
    <xsd:import namespace="534cd3af-974d-4817-b445-b80af09b3b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94ec8-1dfd-4c46-bd87-963d4f7487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9b90e85a-62b9-42e7-8978-23d626e386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4cd3af-974d-4817-b445-b80af09b3bd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2cb8979-315c-458f-98a9-1681986c3f55}" ma:internalName="TaxCatchAll" ma:showField="CatchAllData" ma:web="534cd3af-974d-4817-b445-b80af09b3b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34cd3af-974d-4817-b445-b80af09b3bd7" xsi:nil="true"/>
    <lcf76f155ced4ddcb4097134ff3c332f xmlns="f3f94ec8-1dfd-4c46-bd87-963d4f7487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1CA8B1-24EE-4D35-A6C5-D5569F53925C}"/>
</file>

<file path=customXml/itemProps2.xml><?xml version="1.0" encoding="utf-8"?>
<ds:datastoreItem xmlns:ds="http://schemas.openxmlformats.org/officeDocument/2006/customXml" ds:itemID="{8F708686-C85E-43BC-B0CB-393D78CB9EBB}"/>
</file>

<file path=customXml/itemProps3.xml><?xml version="1.0" encoding="utf-8"?>
<ds:datastoreItem xmlns:ds="http://schemas.openxmlformats.org/officeDocument/2006/customXml" ds:itemID="{9063CAB7-8B9B-45A6-A4FE-C60E9F0BDFC3}"/>
</file>

<file path=docProps/app.xml><?xml version="1.0" encoding="utf-8"?>
<Properties xmlns="http://schemas.openxmlformats.org/officeDocument/2006/extended-properties" xmlns:vt="http://schemas.openxmlformats.org/officeDocument/2006/docPropsVTypes">
  <Template>Normal.dotm</Template>
  <TotalTime>2</TotalTime>
  <Pages>4</Pages>
  <Words>1477</Words>
  <Characters>8125</Characters>
  <Application>Microsoft Office Word</Application>
  <DocSecurity>0</DocSecurity>
  <Lines>67</Lines>
  <Paragraphs>19</Paragraphs>
  <ScaleCrop>false</ScaleCrop>
  <Company>Berger-Levrault</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CHOMARD Laurent</dc:creator>
  <cp:keywords/>
  <dc:description>Created by the HTML-to-RTF Pro DLL .Net 5.1.10.31</dc:description>
  <cp:lastModifiedBy>Didier TROUX</cp:lastModifiedBy>
  <cp:revision>2</cp:revision>
  <dcterms:created xsi:type="dcterms:W3CDTF">2024-10-22T09:15:00Z</dcterms:created>
  <dcterms:modified xsi:type="dcterms:W3CDTF">2024-10-22T09:15:00Z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0x010100FA544E663AC80C4DAA09C6345ED88E6D</vt:lpwstr>
  </property>
</Properties>
</file>