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17F1A" w14:textId="77777777" w:rsidR="0068461E" w:rsidRDefault="0068461E" w:rsidP="0068461E">
      <w:pPr>
        <w:keepNext/>
        <w:jc w:val="center"/>
        <w:outlineLvl w:val="3"/>
        <w:rPr>
          <w:rFonts w:ascii="Brandon Grotesque Regular" w:hAnsi="Brandon Grotesque Regular"/>
          <w:b/>
          <w:bCs/>
          <w:sz w:val="28"/>
          <w:szCs w:val="28"/>
          <w:lang w:val="fr-FR"/>
        </w:rPr>
      </w:pPr>
    </w:p>
    <w:p w14:paraId="4045DC4A" w14:textId="77777777" w:rsidR="00757120" w:rsidRPr="0068461E" w:rsidRDefault="00757120" w:rsidP="0068461E">
      <w:pPr>
        <w:keepNext/>
        <w:jc w:val="center"/>
        <w:outlineLvl w:val="3"/>
        <w:rPr>
          <w:rFonts w:ascii="Brandon Grotesque Regular" w:hAnsi="Brandon Grotesque Regular"/>
          <w:lang w:val="fr-FR"/>
        </w:rPr>
      </w:pPr>
      <w:r>
        <w:rPr>
          <w:noProof/>
        </w:rPr>
        <w:drawing>
          <wp:inline distT="0" distB="0" distL="0" distR="0" wp14:anchorId="4451A132" wp14:editId="0AA1DE86">
            <wp:extent cx="1914525" cy="1377877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454" cy="138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0E689" w14:textId="77777777" w:rsidR="0068461E" w:rsidRPr="0068461E" w:rsidRDefault="00757120" w:rsidP="0068461E">
      <w:pPr>
        <w:keepNext/>
        <w:jc w:val="center"/>
        <w:outlineLvl w:val="3"/>
        <w:rPr>
          <w:rFonts w:ascii="Brandon Grotesque Regular" w:hAnsi="Brandon Grotesque Regular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27412" wp14:editId="508BDBFC">
                <wp:simplePos x="0" y="0"/>
                <wp:positionH relativeFrom="column">
                  <wp:posOffset>-391885</wp:posOffset>
                </wp:positionH>
                <wp:positionV relativeFrom="paragraph">
                  <wp:posOffset>185420</wp:posOffset>
                </wp:positionV>
                <wp:extent cx="6543526" cy="339047"/>
                <wp:effectExtent l="0" t="0" r="10160" b="1714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526" cy="339047"/>
                        </a:xfrm>
                        <a:prstGeom prst="rect">
                          <a:avLst/>
                        </a:prstGeom>
                        <a:solidFill>
                          <a:srgbClr val="008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2E92E9" w14:textId="77777777" w:rsidR="00757120" w:rsidRPr="00757120" w:rsidRDefault="00757120" w:rsidP="00757120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CADRE DE RÉPONSE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274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0.85pt;margin-top:14.6pt;width:515.2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" fillcolor="#008f00" strokeweight=".5pt">
                <v:textbox>
                  <w:txbxContent>
                    <w:p w14:paraId="582E92E9" w14:textId="77777777" w:rsidR="00757120" w:rsidRPr="00757120" w:rsidRDefault="00757120" w:rsidP="00757120">
                      <w:pPr>
                        <w:jc w:val="center"/>
                        <w:rPr>
                          <w:rFonts w:ascii="Book Antiqua" w:hAnsi="Book Antiqu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</w:rPr>
                        <w:t>CADRE DE RÉPONSE DU MÉMOIRE TECHNIQUE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03905F0" w14:textId="77777777" w:rsidR="0068461E" w:rsidRPr="0068461E" w:rsidRDefault="0068461E" w:rsidP="0068461E">
      <w:pPr>
        <w:keepNext/>
        <w:jc w:val="center"/>
        <w:outlineLvl w:val="3"/>
        <w:rPr>
          <w:rFonts w:ascii="Brandon Grotesque Regular" w:hAnsi="Brandon Grotesque Regular"/>
          <w:lang w:val="fr-FR"/>
        </w:rPr>
      </w:pPr>
    </w:p>
    <w:p w14:paraId="16A59ECF" w14:textId="77777777" w:rsidR="0068461E" w:rsidRPr="0068461E" w:rsidRDefault="0068461E" w:rsidP="0068461E">
      <w:pPr>
        <w:keepNext/>
        <w:jc w:val="center"/>
        <w:outlineLvl w:val="3"/>
        <w:rPr>
          <w:rFonts w:ascii="Brandon Grotesque Regular" w:hAnsi="Brandon Grotesque Regular"/>
          <w:lang w:val="fr-FR"/>
        </w:rPr>
      </w:pPr>
    </w:p>
    <w:p w14:paraId="6ACA1DC6" w14:textId="77777777" w:rsidR="0068461E" w:rsidRPr="0068461E" w:rsidRDefault="0068461E" w:rsidP="0068461E">
      <w:pPr>
        <w:keepNext/>
        <w:keepLines/>
        <w:outlineLvl w:val="2"/>
        <w:rPr>
          <w:rFonts w:ascii="Cambria" w:eastAsiaTheme="majorEastAsia" w:hAnsi="Cambria"/>
          <w:b/>
          <w:bCs/>
          <w:color w:val="4F81BD"/>
          <w:lang w:val="fr-FR"/>
        </w:rPr>
      </w:pPr>
      <w:r w:rsidRPr="0068461E">
        <w:rPr>
          <w:rFonts w:eastAsiaTheme="majorEastAsia"/>
          <w:b/>
          <w:bCs/>
          <w:lang w:val="fr-FR"/>
        </w:rPr>
        <w:t xml:space="preserve"> </w:t>
      </w:r>
    </w:p>
    <w:p w14:paraId="66E52612" w14:textId="77777777" w:rsidR="0068461E" w:rsidRDefault="0068461E" w:rsidP="0068461E">
      <w:pPr>
        <w:widowControl w:val="0"/>
        <w:autoSpaceDE w:val="0"/>
        <w:autoSpaceDN w:val="0"/>
        <w:adjustRightInd w:val="0"/>
        <w:ind w:right="-6"/>
        <w:jc w:val="center"/>
        <w:rPr>
          <w:rFonts w:ascii="Helvetica" w:hAnsi="Helvetica" w:cs="Helvetica"/>
          <w:sz w:val="20"/>
          <w:szCs w:val="20"/>
          <w:lang w:val="fr-FR"/>
        </w:rPr>
      </w:pPr>
    </w:p>
    <w:p w14:paraId="7FF2652A" w14:textId="77777777" w:rsidR="0068461E" w:rsidRDefault="0068461E" w:rsidP="0068461E">
      <w:pPr>
        <w:widowControl w:val="0"/>
        <w:autoSpaceDE w:val="0"/>
        <w:autoSpaceDN w:val="0"/>
        <w:adjustRightInd w:val="0"/>
        <w:ind w:right="-6"/>
        <w:jc w:val="center"/>
        <w:rPr>
          <w:rFonts w:ascii="Helvetica" w:hAnsi="Helvetica" w:cs="Helvetica"/>
          <w:sz w:val="20"/>
          <w:szCs w:val="20"/>
          <w:lang w:val="fr-FR"/>
        </w:rPr>
      </w:pPr>
    </w:p>
    <w:p w14:paraId="111FFA4A" w14:textId="77777777" w:rsidR="0068461E" w:rsidRPr="0068461E" w:rsidRDefault="0068461E" w:rsidP="0068461E">
      <w:pPr>
        <w:jc w:val="center"/>
        <w:rPr>
          <w:rFonts w:ascii="Brandon Grotesque Regular" w:hAnsi="Brandon Grotesque Regular"/>
          <w:lang w:val="fr-FR"/>
        </w:rPr>
      </w:pPr>
    </w:p>
    <w:p w14:paraId="12D1B071" w14:textId="77777777" w:rsidR="0068461E" w:rsidRPr="0068461E" w:rsidRDefault="0068461E" w:rsidP="0068461E">
      <w:pPr>
        <w:keepNext/>
        <w:keepLines/>
        <w:outlineLvl w:val="2"/>
        <w:rPr>
          <w:rFonts w:ascii="Brandon Grotesque Regular" w:eastAsiaTheme="majorEastAsia" w:hAnsi="Brandon Grotesque Regular"/>
          <w:b/>
          <w:bCs/>
          <w:color w:val="4F81BD"/>
          <w:lang w:val="fr-FR"/>
        </w:rPr>
      </w:pPr>
      <w:r w:rsidRPr="0068461E">
        <w:rPr>
          <w:rFonts w:eastAsiaTheme="majorEastAsia"/>
          <w:b/>
          <w:bCs/>
          <w:lang w:val="fr-FR"/>
        </w:rPr>
        <w:t xml:space="preserve"> </w:t>
      </w:r>
    </w:p>
    <w:p w14:paraId="116AA470" w14:textId="77777777" w:rsidR="0068461E" w:rsidRPr="0068461E" w:rsidRDefault="0068461E" w:rsidP="0068461E">
      <w:pPr>
        <w:jc w:val="center"/>
        <w:rPr>
          <w:rFonts w:ascii="Brandon Grotesque Regular" w:hAnsi="Brandon Grotesque Regular"/>
          <w:b/>
          <w:sz w:val="32"/>
          <w:lang w:val="fr-FR"/>
        </w:rPr>
      </w:pPr>
      <w:r w:rsidRPr="0068461E">
        <w:rPr>
          <w:lang w:val="fr-FR"/>
        </w:rPr>
        <w:t xml:space="preserve"> </w:t>
      </w:r>
    </w:p>
    <w:p w14:paraId="433317CE" w14:textId="77777777" w:rsidR="0068461E" w:rsidRPr="0068461E" w:rsidRDefault="0068461E" w:rsidP="0068461E">
      <w:pPr>
        <w:keepNext/>
        <w:keepLines/>
        <w:outlineLvl w:val="2"/>
        <w:rPr>
          <w:rFonts w:ascii="Cambria" w:eastAsiaTheme="majorEastAsia" w:hAnsi="Cambria"/>
          <w:b/>
          <w:bCs/>
          <w:color w:val="4F81BD"/>
          <w:lang w:val="fr-FR"/>
        </w:rPr>
      </w:pPr>
      <w:r w:rsidRPr="0068461E">
        <w:rPr>
          <w:rFonts w:eastAsiaTheme="majorEastAsia"/>
          <w:b/>
          <w:bCs/>
          <w:lang w:val="fr-FR"/>
        </w:rPr>
        <w:t xml:space="preserve"> </w:t>
      </w:r>
    </w:p>
    <w:p w14:paraId="1A251FBE" w14:textId="77777777" w:rsidR="0068461E" w:rsidRPr="0068461E" w:rsidRDefault="0068461E" w:rsidP="0068461E">
      <w:pPr>
        <w:jc w:val="both"/>
        <w:rPr>
          <w:rFonts w:ascii="Brandon Grotesque Regular" w:hAnsi="Brandon Grotesque Regular"/>
          <w:b/>
          <w:lang w:val="fr-FR"/>
        </w:rPr>
      </w:pPr>
    </w:p>
    <w:p w14:paraId="12CB6C59" w14:textId="77777777" w:rsidR="00757120" w:rsidRPr="00B8379E" w:rsidRDefault="00757120" w:rsidP="00757120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21084C1B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657E702D" w14:textId="77777777" w:rsidR="009622B5" w:rsidRPr="009622B5" w:rsidRDefault="009622B5" w:rsidP="009622B5">
      <w:pPr>
        <w:spacing w:line="232" w:lineRule="exact"/>
        <w:ind w:left="40" w:right="2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  <w:lang w:val="fr-FR" w:eastAsia="en-US"/>
        </w:rPr>
      </w:pPr>
    </w:p>
    <w:p w14:paraId="3EA257EC" w14:textId="2733BEED" w:rsidR="009622B5" w:rsidRPr="009622B5" w:rsidRDefault="009622B5" w:rsidP="009622B5">
      <w:pPr>
        <w:spacing w:line="276" w:lineRule="auto"/>
        <w:ind w:left="40" w:right="20"/>
        <w:jc w:val="center"/>
        <w:rPr>
          <w:rFonts w:ascii="Book Antiqua" w:eastAsia="Trebuchet MS" w:hAnsi="Book Antiqua" w:cs="Trebuchet MS"/>
          <w:b/>
          <w:sz w:val="29"/>
          <w:szCs w:val="29"/>
          <w:lang w:val="fr-FR" w:eastAsia="en-US"/>
        </w:rPr>
      </w:pPr>
      <w:bookmarkStart w:id="0" w:name="_Hlk165025030"/>
      <w:bookmarkStart w:id="1" w:name="_Hlk163551242"/>
      <w:r w:rsidRPr="009622B5">
        <w:rPr>
          <w:rFonts w:ascii="Book Antiqua" w:eastAsia="Trebuchet MS" w:hAnsi="Book Antiqua" w:cs="Trebuchet MS"/>
          <w:b/>
          <w:sz w:val="29"/>
          <w:szCs w:val="29"/>
          <w:lang w:val="fr-FR" w:eastAsia="en-US"/>
        </w:rPr>
        <w:t>MAPA/PI/CART/2024-</w:t>
      </w:r>
      <w:bookmarkEnd w:id="0"/>
      <w:r w:rsidRPr="009622B5">
        <w:rPr>
          <w:rFonts w:ascii="Book Antiqua" w:eastAsia="Trebuchet MS" w:hAnsi="Book Antiqua" w:cs="Trebuchet MS"/>
          <w:b/>
          <w:sz w:val="29"/>
          <w:szCs w:val="29"/>
          <w:lang w:val="fr-FR" w:eastAsia="en-US"/>
        </w:rPr>
        <w:t>10</w:t>
      </w:r>
    </w:p>
    <w:p w14:paraId="7513CFF3" w14:textId="77777777" w:rsidR="009622B5" w:rsidRPr="009622B5" w:rsidRDefault="009622B5" w:rsidP="009622B5">
      <w:pPr>
        <w:spacing w:line="232" w:lineRule="exact"/>
        <w:ind w:left="40" w:right="20"/>
        <w:jc w:val="center"/>
        <w:rPr>
          <w:rFonts w:ascii="Book Antiqua" w:eastAsia="Trebuchet MS" w:hAnsi="Book Antiqua" w:cs="Trebuchet MS"/>
          <w:b/>
          <w:sz w:val="29"/>
          <w:szCs w:val="29"/>
          <w:lang w:val="fr-FR" w:eastAsia="en-US"/>
        </w:rPr>
      </w:pPr>
    </w:p>
    <w:p w14:paraId="141D879B" w14:textId="77777777" w:rsidR="009622B5" w:rsidRPr="009622B5" w:rsidRDefault="009622B5" w:rsidP="009622B5">
      <w:pPr>
        <w:pBdr>
          <w:top w:val="nil"/>
          <w:left w:val="nil"/>
          <w:bottom w:val="nil"/>
          <w:right w:val="nil"/>
          <w:between w:val="nil"/>
        </w:pBdr>
        <w:spacing w:line="233" w:lineRule="auto"/>
        <w:ind w:left="40" w:right="23"/>
        <w:jc w:val="center"/>
        <w:rPr>
          <w:rFonts w:ascii="Book Antiqua" w:eastAsia="Trebuchet MS" w:hAnsi="Book Antiqua" w:cs="Trebuchet MS"/>
          <w:b/>
          <w:sz w:val="29"/>
          <w:szCs w:val="29"/>
          <w:lang w:val="fr-FR" w:eastAsia="en-US"/>
        </w:rPr>
      </w:pPr>
      <w:bookmarkStart w:id="2" w:name="_Hlk163482156"/>
      <w:bookmarkEnd w:id="1"/>
      <w:r w:rsidRPr="009622B5">
        <w:rPr>
          <w:rFonts w:ascii="Book Antiqua" w:eastAsia="Trebuchet MS" w:hAnsi="Book Antiqua" w:cs="Trebuchet MS"/>
          <w:b/>
          <w:sz w:val="29"/>
          <w:szCs w:val="29"/>
          <w:lang w:val="fr-FR" w:eastAsia="en-US"/>
        </w:rPr>
        <w:t>Elaboration des cartes d’évolution du trait de côte dans le cadre de loi Climat et Résilience pour le compte de la commune de Deshaies</w:t>
      </w:r>
    </w:p>
    <w:bookmarkEnd w:id="2"/>
    <w:p w14:paraId="4BE7EF31" w14:textId="77777777" w:rsidR="009622B5" w:rsidRPr="009622B5" w:rsidRDefault="009622B5" w:rsidP="009622B5">
      <w:pPr>
        <w:spacing w:line="232" w:lineRule="exact"/>
        <w:ind w:left="40" w:right="2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  <w:lang w:val="fr-FR" w:eastAsia="en-US"/>
        </w:rPr>
      </w:pPr>
    </w:p>
    <w:p w14:paraId="1BD0193F" w14:textId="77777777" w:rsidR="009622B5" w:rsidRPr="009622B5" w:rsidRDefault="009622B5" w:rsidP="009622B5">
      <w:pPr>
        <w:spacing w:line="232" w:lineRule="exact"/>
        <w:ind w:left="40" w:right="2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  <w:lang w:val="fr-FR" w:eastAsia="en-US"/>
        </w:rPr>
      </w:pPr>
    </w:p>
    <w:p w14:paraId="196555B0" w14:textId="77777777" w:rsidR="009622B5" w:rsidRPr="009622B5" w:rsidRDefault="009622B5" w:rsidP="009622B5">
      <w:pPr>
        <w:spacing w:line="232" w:lineRule="exact"/>
        <w:ind w:left="40" w:right="2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  <w:lang w:val="fr-FR" w:eastAsia="en-US"/>
        </w:rPr>
      </w:pPr>
    </w:p>
    <w:p w14:paraId="341EFDF8" w14:textId="77777777" w:rsidR="00297ABF" w:rsidRPr="00297ABF" w:rsidRDefault="00297ABF" w:rsidP="00297ABF">
      <w:pPr>
        <w:spacing w:line="232" w:lineRule="exact"/>
        <w:ind w:left="40" w:right="2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  <w:lang w:val="fr-FR" w:eastAsia="en-US"/>
        </w:rPr>
      </w:pPr>
    </w:p>
    <w:p w14:paraId="3068EE38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4487A1AD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225240B1" w14:textId="77777777" w:rsidR="00757120" w:rsidRPr="00B8379E" w:rsidRDefault="00757120" w:rsidP="00757120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48888DC8" w14:textId="77777777" w:rsidR="00757120" w:rsidRPr="00B8379E" w:rsidRDefault="00757120" w:rsidP="00757120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39B4166F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4CCD85ED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0397BAA1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6EDF6AAF" w14:textId="7425E576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6CE0D281" w14:textId="3410AAE7" w:rsidR="00297ABF" w:rsidRDefault="00297ABF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7E793FE6" w14:textId="0C954E8C" w:rsidR="00297ABF" w:rsidRDefault="00297ABF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56F30B3A" w14:textId="45029D04" w:rsidR="00297ABF" w:rsidRDefault="00297ABF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213762DB" w14:textId="77777777" w:rsidR="00297ABF" w:rsidRDefault="00297ABF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0C0C9E42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5B2005FE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7692CE11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78F8587C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6A67860E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208EAE6A" w14:textId="77777777" w:rsidR="00757120" w:rsidRDefault="00757120" w:rsidP="00757120">
      <w:pPr>
        <w:pStyle w:val="style1010"/>
        <w:spacing w:line="232" w:lineRule="exact"/>
        <w:ind w:left="40" w:right="20"/>
        <w:jc w:val="center"/>
        <w:rPr>
          <w:color w:val="000000"/>
          <w:lang w:val="fr-FR"/>
        </w:rPr>
      </w:pPr>
    </w:p>
    <w:p w14:paraId="1CC5DE7E" w14:textId="77777777" w:rsidR="00757120" w:rsidRPr="00757120" w:rsidRDefault="00757120" w:rsidP="0075712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b/>
          <w:bCs/>
          <w:color w:val="000000"/>
          <w:lang w:val="fr-FR"/>
        </w:rPr>
      </w:pPr>
      <w:r w:rsidRPr="00757120">
        <w:rPr>
          <w:rFonts w:ascii="Book Antiqua" w:eastAsia="Trebuchet MS" w:hAnsi="Book Antiqua" w:cs="Trebuchet MS"/>
          <w:b/>
          <w:bCs/>
          <w:color w:val="000000"/>
          <w:lang w:val="fr-FR"/>
        </w:rPr>
        <w:t>COMMUNE DE DESHAIES</w:t>
      </w:r>
    </w:p>
    <w:p w14:paraId="6DF55446" w14:textId="77777777" w:rsidR="00757120" w:rsidRPr="00757120" w:rsidRDefault="00757120" w:rsidP="0075712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color w:val="000000"/>
          <w:lang w:val="fr-FR"/>
        </w:rPr>
      </w:pPr>
      <w:r w:rsidRPr="00757120">
        <w:rPr>
          <w:rFonts w:ascii="Book Antiqua" w:eastAsia="Trebuchet MS" w:hAnsi="Book Antiqua" w:cs="Trebuchet MS"/>
          <w:color w:val="000000"/>
          <w:lang w:val="fr-FR"/>
        </w:rPr>
        <w:t>Mairie 238</w:t>
      </w:r>
    </w:p>
    <w:p w14:paraId="77AEECB9" w14:textId="77777777" w:rsidR="00757120" w:rsidRPr="00757120" w:rsidRDefault="00757120" w:rsidP="0075712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color w:val="000000"/>
          <w:lang w:val="fr-FR"/>
        </w:rPr>
      </w:pPr>
      <w:r w:rsidRPr="00757120">
        <w:rPr>
          <w:rFonts w:ascii="Book Antiqua" w:eastAsia="Trebuchet MS" w:hAnsi="Book Antiqua" w:cs="Trebuchet MS"/>
          <w:color w:val="000000"/>
          <w:lang w:val="fr-FR"/>
        </w:rPr>
        <w:t>Boulevard des Poissonniers</w:t>
      </w:r>
    </w:p>
    <w:p w14:paraId="0CBC799C" w14:textId="77777777" w:rsidR="00757120" w:rsidRPr="00F332E0" w:rsidRDefault="00757120" w:rsidP="0075712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color w:val="000000"/>
        </w:rPr>
      </w:pPr>
      <w:r w:rsidRPr="00F332E0">
        <w:rPr>
          <w:rFonts w:ascii="Book Antiqua" w:eastAsia="Trebuchet MS" w:hAnsi="Book Antiqua" w:cs="Trebuchet MS"/>
          <w:color w:val="000000"/>
        </w:rPr>
        <w:t>97 126 DESHAIES</w:t>
      </w:r>
    </w:p>
    <w:p w14:paraId="3E3C4B10" w14:textId="64D83762" w:rsidR="00757120" w:rsidRDefault="00757120">
      <w:pPr>
        <w:rPr>
          <w:color w:val="000000"/>
        </w:rPr>
      </w:pPr>
    </w:p>
    <w:p w14:paraId="2A1883E6" w14:textId="77777777" w:rsidR="00757120" w:rsidRPr="00757120" w:rsidRDefault="00757120" w:rsidP="00757120">
      <w:pPr>
        <w:rPr>
          <w:color w:val="000000"/>
        </w:rPr>
      </w:pPr>
    </w:p>
    <w:p w14:paraId="0988D54A" w14:textId="77777777" w:rsidR="00DA0C88" w:rsidRPr="00757120" w:rsidRDefault="00EC4DD9" w:rsidP="006846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13"/>
        <w:jc w:val="both"/>
        <w:rPr>
          <w:rFonts w:ascii="Book Antiqua" w:eastAsia="Trebuchet MS" w:hAnsi="Book Antiqua" w:cs="Arial"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Le présent document constitue le cadre de réponse que les candi</w:t>
      </w:r>
      <w:r w:rsidR="003D1F63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dats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sont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invités à respecter pour la présentation de leur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offre. </w:t>
      </w:r>
    </w:p>
    <w:p w14:paraId="616B3D57" w14:textId="77777777" w:rsidR="00DA0C88" w:rsidRPr="00757120" w:rsidRDefault="00EC4DD9" w:rsidP="006846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13"/>
        <w:jc w:val="both"/>
        <w:rPr>
          <w:rFonts w:ascii="Book Antiqua" w:eastAsia="Trebuchet MS" w:hAnsi="Book Antiqua" w:cs="Arial"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Les candidats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doivent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impérativement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fournir à minima, tous les documents et informations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demandés dans le présent document. </w:t>
      </w:r>
    </w:p>
    <w:p w14:paraId="6A1D1B0E" w14:textId="77777777" w:rsidR="00DA0C88" w:rsidRPr="00757120" w:rsidRDefault="00EC4DD9" w:rsidP="006846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13"/>
        <w:jc w:val="both"/>
        <w:rPr>
          <w:rFonts w:ascii="Book Antiqua" w:eastAsia="Trebuchet MS" w:hAnsi="Book Antiqua" w:cs="Arial"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Ils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peuvent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joindre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toute pièce ou information complémentaire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qu’ils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jugent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utiles à la compréhension de leur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offre.</w:t>
      </w:r>
    </w:p>
    <w:p w14:paraId="79A3C9DD" w14:textId="00062FBE" w:rsidR="00DA0C88" w:rsidRDefault="00EC4DD9" w:rsidP="006846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13"/>
        <w:jc w:val="both"/>
        <w:rPr>
          <w:rFonts w:ascii="Book Antiqua" w:eastAsia="Trebuchet MS" w:hAnsi="Book Antiqua" w:cs="Arial"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Il est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rappelé aux candidats que les informations et documents fournis au titre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du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mémoire technique serviront de base à l’analyse de l’offre</w:t>
      </w:r>
      <w:r w:rsidR="00371E0A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au regard du critère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Valeur Technique pondéré à </w:t>
      </w:r>
      <w:r w:rsidR="00297ABF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6</w:t>
      </w:r>
      <w:r w:rsidR="003D1F63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0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% et </w:t>
      </w:r>
      <w:r w:rsidR="003D1F63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décomposé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en </w:t>
      </w:r>
      <w:r w:rsidR="009622B5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5 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sous-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critères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comme</w:t>
      </w:r>
      <w:r w:rsidR="007A67D7"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 xml:space="preserve"> </w:t>
      </w:r>
      <w:r w:rsidRPr="00757120">
        <w:rPr>
          <w:rFonts w:ascii="Book Antiqua" w:eastAsia="Trebuchet MS" w:hAnsi="Book Antiqua" w:cs="Arial"/>
          <w:color w:val="000000"/>
          <w:sz w:val="22"/>
          <w:szCs w:val="22"/>
          <w:lang w:val="fr-FR"/>
        </w:rPr>
        <w:t>suit :</w:t>
      </w:r>
    </w:p>
    <w:p w14:paraId="378EA15E" w14:textId="77777777" w:rsidR="00757120" w:rsidRDefault="00757120" w:rsidP="006846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13"/>
        <w:jc w:val="both"/>
        <w:rPr>
          <w:rFonts w:ascii="Book Antiqua" w:eastAsia="Trebuchet MS" w:hAnsi="Book Antiqua" w:cs="Arial"/>
          <w:color w:val="000000"/>
          <w:sz w:val="22"/>
          <w:szCs w:val="22"/>
          <w:lang w:val="fr-FR"/>
        </w:rPr>
      </w:pPr>
    </w:p>
    <w:tbl>
      <w:tblPr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7941"/>
        <w:gridCol w:w="1239"/>
      </w:tblGrid>
      <w:tr w:rsidR="009622B5" w:rsidRPr="009622B5" w14:paraId="5933142C" w14:textId="77777777" w:rsidTr="00210421">
        <w:trPr>
          <w:trHeight w:val="292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1801" w14:textId="77777777" w:rsidR="009622B5" w:rsidRPr="009622B5" w:rsidRDefault="009622B5" w:rsidP="009622B5">
            <w:pPr>
              <w:spacing w:before="40"/>
              <w:jc w:val="center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lang w:val="fr-FR" w:eastAsia="en-US"/>
              </w:rPr>
              <w:t>Critères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B86E" w14:textId="77777777" w:rsidR="009622B5" w:rsidRPr="009622B5" w:rsidRDefault="009622B5" w:rsidP="009622B5">
            <w:pPr>
              <w:spacing w:before="40"/>
              <w:jc w:val="center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lang w:val="fr-FR" w:eastAsia="en-US"/>
              </w:rPr>
              <w:t>Pondération</w:t>
            </w:r>
          </w:p>
        </w:tc>
      </w:tr>
      <w:tr w:rsidR="009622B5" w:rsidRPr="009622B5" w14:paraId="03F92343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9CF60" w14:textId="77777777" w:rsidR="009622B5" w:rsidRPr="009622B5" w:rsidRDefault="009622B5" w:rsidP="009622B5">
            <w:pPr>
              <w:spacing w:before="80" w:after="20"/>
              <w:ind w:left="80" w:right="80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  <w:t>1-Valeur technique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653A" w14:textId="77777777" w:rsidR="009622B5" w:rsidRPr="009622B5" w:rsidRDefault="009622B5" w:rsidP="009622B5">
            <w:pPr>
              <w:spacing w:before="80" w:after="20"/>
              <w:ind w:left="80" w:right="80"/>
              <w:jc w:val="right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  <w:t>60</w:t>
            </w: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%</w:t>
            </w:r>
          </w:p>
        </w:tc>
      </w:tr>
      <w:tr w:rsidR="009622B5" w:rsidRPr="009622B5" w14:paraId="344378C1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75DF" w14:textId="77777777" w:rsidR="009622B5" w:rsidRPr="009622B5" w:rsidRDefault="009622B5" w:rsidP="009622B5">
            <w:pPr>
              <w:spacing w:before="80" w:after="20"/>
              <w:ind w:left="80" w:right="80"/>
              <w:rPr>
                <w:rFonts w:ascii="Book Antiqua" w:eastAsia="Trebuchet MS" w:hAnsi="Book Antiqua" w:cs="Trebuchet MS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1.1-</w:t>
            </w:r>
            <w:r w:rsidRPr="009622B5">
              <w:rPr>
                <w:rFonts w:asciiTheme="minorHAnsi" w:eastAsiaTheme="minorHAnsi" w:hAnsiTheme="minorHAnsi" w:cstheme="minorBidi"/>
                <w:lang w:val="fr-FR" w:eastAsia="en-US"/>
              </w:rPr>
              <w:t xml:space="preserve"> </w:t>
            </w: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La compréhension du besoin et la pertinence de la méthodologie proposée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9CC7" w14:textId="77777777" w:rsidR="009622B5" w:rsidRPr="009622B5" w:rsidRDefault="009622B5" w:rsidP="009622B5">
            <w:pPr>
              <w:spacing w:before="80" w:after="20"/>
              <w:ind w:left="80" w:right="80"/>
              <w:jc w:val="right"/>
              <w:rPr>
                <w:rFonts w:ascii="Book Antiqua" w:eastAsia="Trebuchet MS" w:hAnsi="Book Antiqua" w:cs="Trebuchet MS"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30%</w:t>
            </w:r>
          </w:p>
        </w:tc>
      </w:tr>
      <w:tr w:rsidR="009622B5" w:rsidRPr="009622B5" w14:paraId="3C56A1AC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C5DCE" w14:textId="77777777" w:rsidR="009622B5" w:rsidRPr="009622B5" w:rsidRDefault="009622B5" w:rsidP="009622B5">
            <w:pPr>
              <w:spacing w:before="80" w:after="20"/>
              <w:ind w:left="80" w:right="80"/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 xml:space="preserve">1.2 </w:t>
            </w:r>
            <w:bookmarkStart w:id="3" w:name="_Hlk179793874"/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 xml:space="preserve">– la capacité de production </w:t>
            </w:r>
            <w:bookmarkEnd w:id="3"/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6B93" w14:textId="77777777" w:rsidR="009622B5" w:rsidRPr="009622B5" w:rsidRDefault="009622B5" w:rsidP="009622B5">
            <w:pPr>
              <w:spacing w:before="80" w:after="20"/>
              <w:ind w:left="80" w:right="80"/>
              <w:jc w:val="right"/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10%</w:t>
            </w:r>
          </w:p>
        </w:tc>
      </w:tr>
      <w:tr w:rsidR="009622B5" w:rsidRPr="009622B5" w14:paraId="63899A15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10F5" w14:textId="73659CC7" w:rsidR="009622B5" w:rsidRPr="009622B5" w:rsidRDefault="009622B5" w:rsidP="009622B5">
            <w:pPr>
              <w:spacing w:before="80" w:after="20"/>
              <w:ind w:right="80"/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 xml:space="preserve"> 1.</w:t>
            </w:r>
            <w:r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3</w:t>
            </w: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- Les compétences et les références des personnes mobilisées pour la mission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802A" w14:textId="77777777" w:rsidR="009622B5" w:rsidRPr="009622B5" w:rsidRDefault="009622B5" w:rsidP="009622B5">
            <w:pPr>
              <w:spacing w:before="80" w:after="20"/>
              <w:ind w:left="80" w:right="80"/>
              <w:jc w:val="right"/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10%</w:t>
            </w:r>
          </w:p>
        </w:tc>
      </w:tr>
      <w:tr w:rsidR="009622B5" w:rsidRPr="009622B5" w14:paraId="2BA1EF49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8F4C4" w14:textId="537AF1BF" w:rsidR="009622B5" w:rsidRPr="009622B5" w:rsidRDefault="009622B5" w:rsidP="009622B5">
            <w:pPr>
              <w:spacing w:before="80" w:after="20"/>
              <w:ind w:right="80"/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 xml:space="preserve"> 1.</w:t>
            </w:r>
            <w:r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4</w:t>
            </w: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-</w:t>
            </w:r>
            <w:r w:rsidRPr="009622B5">
              <w:rPr>
                <w:rFonts w:asciiTheme="minorHAnsi" w:eastAsiaTheme="minorHAnsi" w:hAnsiTheme="minorHAnsi" w:cstheme="minorBidi"/>
                <w:lang w:val="fr-FR" w:eastAsia="en-US"/>
              </w:rPr>
              <w:t xml:space="preserve"> </w:t>
            </w: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La cohérence du planning proposé avec les délais du projet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D493" w14:textId="77777777" w:rsidR="009622B5" w:rsidRPr="009622B5" w:rsidRDefault="009622B5" w:rsidP="009622B5">
            <w:pPr>
              <w:spacing w:before="80" w:after="20"/>
              <w:ind w:left="80" w:right="80"/>
              <w:jc w:val="right"/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5%</w:t>
            </w:r>
          </w:p>
        </w:tc>
      </w:tr>
      <w:tr w:rsidR="009622B5" w:rsidRPr="009622B5" w14:paraId="2DC18AE0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7BF0" w14:textId="43A421CC" w:rsidR="009622B5" w:rsidRPr="009622B5" w:rsidRDefault="009622B5" w:rsidP="009622B5">
            <w:pPr>
              <w:spacing w:before="80" w:after="20"/>
              <w:ind w:right="80"/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1.</w:t>
            </w:r>
            <w:r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5</w:t>
            </w:r>
            <w:r w:rsidRPr="009622B5">
              <w:rPr>
                <w:rFonts w:ascii="Book Antiqua" w:eastAsia="Trebuchet MS" w:hAnsi="Book Antiqua" w:cs="Trebuchet MS"/>
                <w:i/>
                <w:sz w:val="20"/>
                <w:szCs w:val="20"/>
                <w:lang w:val="fr-FR" w:eastAsia="en-US"/>
              </w:rPr>
              <w:t>-La qualité du dossier, en matière de précisions et de présentation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9DC7" w14:textId="77777777" w:rsidR="009622B5" w:rsidRPr="009622B5" w:rsidRDefault="009622B5" w:rsidP="009622B5">
            <w:pPr>
              <w:spacing w:before="80" w:after="20"/>
              <w:ind w:left="80" w:right="80"/>
              <w:jc w:val="right"/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5%</w:t>
            </w:r>
          </w:p>
        </w:tc>
      </w:tr>
      <w:tr w:rsidR="009622B5" w:rsidRPr="009622B5" w14:paraId="2F5DA2FB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73F6" w14:textId="77777777" w:rsidR="009622B5" w:rsidRPr="009622B5" w:rsidRDefault="009622B5" w:rsidP="009622B5">
            <w:pPr>
              <w:spacing w:before="80" w:after="20"/>
              <w:ind w:right="80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  <w:t xml:space="preserve"> 2- Prix de la prestation (HT)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943D" w14:textId="77777777" w:rsidR="009622B5" w:rsidRPr="009622B5" w:rsidRDefault="009622B5" w:rsidP="009622B5">
            <w:pPr>
              <w:spacing w:before="80" w:after="20"/>
              <w:ind w:right="80"/>
              <w:jc w:val="right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  <w:t>30</w:t>
            </w:r>
            <w:r w:rsidRPr="009622B5">
              <w:rPr>
                <w:rFonts w:ascii="Book Antiqua" w:eastAsia="Trebuchet MS" w:hAnsi="Book Antiqua" w:cs="Trebuchet MS"/>
                <w:i/>
                <w:color w:val="000000"/>
                <w:sz w:val="20"/>
                <w:szCs w:val="20"/>
                <w:lang w:val="fr-FR" w:eastAsia="en-US"/>
              </w:rPr>
              <w:t>%</w:t>
            </w:r>
          </w:p>
        </w:tc>
      </w:tr>
      <w:tr w:rsidR="009622B5" w:rsidRPr="009622B5" w14:paraId="132851A8" w14:textId="77777777" w:rsidTr="00210421">
        <w:trPr>
          <w:trHeight w:val="346"/>
          <w:jc w:val="center"/>
        </w:trPr>
        <w:tc>
          <w:tcPr>
            <w:tcW w:w="7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4137" w14:textId="77777777" w:rsidR="009622B5" w:rsidRPr="009622B5" w:rsidRDefault="009622B5" w:rsidP="009622B5">
            <w:pPr>
              <w:spacing w:before="80" w:after="20"/>
              <w:ind w:right="80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  <w:t xml:space="preserve"> 3- Délais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CA024" w14:textId="77777777" w:rsidR="009622B5" w:rsidRPr="009622B5" w:rsidRDefault="009622B5" w:rsidP="009622B5">
            <w:pPr>
              <w:spacing w:before="80" w:after="20"/>
              <w:ind w:right="80"/>
              <w:jc w:val="right"/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</w:pPr>
            <w:r w:rsidRPr="009622B5">
              <w:rPr>
                <w:rFonts w:ascii="Book Antiqua" w:eastAsia="Trebuchet MS" w:hAnsi="Book Antiqua" w:cs="Trebuchet MS"/>
                <w:b/>
                <w:bCs/>
                <w:color w:val="000000"/>
                <w:sz w:val="20"/>
                <w:szCs w:val="20"/>
                <w:lang w:val="fr-FR" w:eastAsia="en-US"/>
              </w:rPr>
              <w:t>10%</w:t>
            </w:r>
          </w:p>
        </w:tc>
      </w:tr>
    </w:tbl>
    <w:p w14:paraId="171658A3" w14:textId="77777777" w:rsidR="00757120" w:rsidRPr="00757120" w:rsidRDefault="00757120" w:rsidP="006846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13"/>
        <w:jc w:val="both"/>
        <w:rPr>
          <w:rFonts w:ascii="Book Antiqua" w:eastAsia="Trebuchet MS" w:hAnsi="Book Antiqua" w:cs="Arial"/>
          <w:color w:val="000000"/>
          <w:sz w:val="22"/>
          <w:szCs w:val="22"/>
          <w:lang w:val="fr-FR"/>
        </w:rPr>
      </w:pPr>
    </w:p>
    <w:p w14:paraId="4F533144" w14:textId="77777777" w:rsidR="007A67D7" w:rsidRPr="003D1F63" w:rsidRDefault="007A67D7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rebuchet MS" w:eastAsia="Trebuchet MS" w:hAnsi="Trebuchet MS" w:cs="Trebuchet MS"/>
          <w:color w:val="000000"/>
          <w:sz w:val="22"/>
          <w:szCs w:val="22"/>
          <w:lang w:val="fr-FR"/>
        </w:rPr>
      </w:pPr>
    </w:p>
    <w:p w14:paraId="4595E58E" w14:textId="77777777" w:rsidR="007A67D7" w:rsidRDefault="007A67D7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29448FC" w14:textId="77777777" w:rsidR="00DA0C88" w:rsidRDefault="00DA0C8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i/>
          <w:color w:val="000000"/>
          <w:sz w:val="22"/>
          <w:szCs w:val="22"/>
        </w:rPr>
      </w:pPr>
    </w:p>
    <w:p w14:paraId="2DC0C191" w14:textId="77777777" w:rsidR="00DA0C88" w:rsidRDefault="00DA0C88">
      <w:pPr>
        <w:spacing w:after="20" w:line="252" w:lineRule="auto"/>
        <w:ind w:left="1349"/>
        <w:rPr>
          <w:rFonts w:ascii="Trebuchet MS" w:eastAsia="Trebuchet MS" w:hAnsi="Trebuchet MS" w:cs="Trebuchet MS"/>
          <w:b/>
          <w:sz w:val="22"/>
          <w:szCs w:val="22"/>
        </w:rPr>
      </w:pPr>
    </w:p>
    <w:p w14:paraId="56CE9F3B" w14:textId="77777777" w:rsidR="00DA0C88" w:rsidRDefault="00DA0C8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</w:p>
    <w:p w14:paraId="4FBF862E" w14:textId="77777777" w:rsidR="00DA0C88" w:rsidRDefault="00DA0C88">
      <w:pPr>
        <w:rPr>
          <w:rFonts w:ascii="Trebuchet MS" w:eastAsia="Trebuchet MS" w:hAnsi="Trebuchet MS" w:cs="Trebuchet MS"/>
        </w:rPr>
      </w:pPr>
    </w:p>
    <w:p w14:paraId="018B7432" w14:textId="77777777" w:rsidR="00DA0C88" w:rsidRDefault="00DA0C88"/>
    <w:p w14:paraId="5DF561B4" w14:textId="77777777" w:rsidR="00DA0C88" w:rsidRDefault="00DA0C88"/>
    <w:p w14:paraId="29B2116E" w14:textId="77777777" w:rsidR="00DA0C88" w:rsidRDefault="00DA0C88"/>
    <w:p w14:paraId="2F538280" w14:textId="77777777" w:rsidR="00DA0C88" w:rsidRPr="0068461E" w:rsidRDefault="00DA0C88">
      <w:pPr>
        <w:rPr>
          <w:lang w:val="fr-FR"/>
        </w:rPr>
      </w:pPr>
    </w:p>
    <w:p w14:paraId="31C244AA" w14:textId="77777777" w:rsidR="00DA0C88" w:rsidRPr="0068461E" w:rsidRDefault="00DA0C88">
      <w:pPr>
        <w:rPr>
          <w:lang w:val="fr-FR"/>
        </w:rPr>
      </w:pPr>
    </w:p>
    <w:p w14:paraId="04D0F146" w14:textId="77777777" w:rsidR="00DA0C88" w:rsidRPr="0068461E" w:rsidRDefault="00DA0C88">
      <w:pPr>
        <w:rPr>
          <w:lang w:val="fr-FR"/>
        </w:rPr>
      </w:pPr>
    </w:p>
    <w:p w14:paraId="5EC4B0CB" w14:textId="77777777" w:rsidR="00DA0C88" w:rsidRPr="0068461E" w:rsidRDefault="00DA0C88">
      <w:pPr>
        <w:rPr>
          <w:lang w:val="fr-FR"/>
        </w:rPr>
      </w:pPr>
    </w:p>
    <w:p w14:paraId="3ABF3596" w14:textId="77777777" w:rsidR="00DA0C88" w:rsidRPr="0068461E" w:rsidRDefault="00DA0C88">
      <w:pPr>
        <w:rPr>
          <w:lang w:val="fr-FR"/>
        </w:rPr>
      </w:pPr>
    </w:p>
    <w:p w14:paraId="54778D2A" w14:textId="77777777" w:rsidR="00DA0C88" w:rsidRPr="0068461E" w:rsidRDefault="00DA0C88">
      <w:pPr>
        <w:rPr>
          <w:lang w:val="fr-FR"/>
        </w:rPr>
      </w:pPr>
    </w:p>
    <w:p w14:paraId="096F5DA7" w14:textId="77777777" w:rsidR="00DA0C88" w:rsidRPr="00757120" w:rsidRDefault="00DA0C88">
      <w:pPr>
        <w:rPr>
          <w:rFonts w:ascii="Book Antiqua" w:hAnsi="Book Antiqua"/>
          <w:sz w:val="22"/>
          <w:szCs w:val="22"/>
          <w:lang w:val="fr-FR"/>
        </w:rPr>
        <w:sectPr w:rsidR="00DA0C88" w:rsidRPr="00757120" w:rsidSect="009622B5">
          <w:footerReference w:type="default" r:id="rId9"/>
          <w:pgSz w:w="11906" w:h="16838"/>
          <w:pgMar w:top="1440" w:right="1440" w:bottom="426" w:left="1440" w:header="708" w:footer="0" w:gutter="0"/>
          <w:pgNumType w:start="1"/>
          <w:cols w:space="720"/>
        </w:sectPr>
      </w:pPr>
    </w:p>
    <w:p w14:paraId="10687788" w14:textId="700EBA32" w:rsidR="00DA0C88" w:rsidRPr="00757120" w:rsidRDefault="00EC4DD9" w:rsidP="0068461E">
      <w:pPr>
        <w:jc w:val="both"/>
        <w:rPr>
          <w:rFonts w:ascii="Book Antiqua" w:hAnsi="Book Antiqua" w:cs="Arial"/>
          <w:i/>
          <w:iCs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lastRenderedPageBreak/>
        <w:t xml:space="preserve">Sous-critère 1 </w:t>
      </w:r>
      <w:r w:rsidR="00297ABF"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- La compréhension du besoin et la pertinence de la méthodologie </w:t>
      </w:r>
      <w:r w:rsidR="0067007C"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proposée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(</w:t>
      </w:r>
      <w:r w:rsid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30%)</w:t>
      </w:r>
    </w:p>
    <w:p w14:paraId="12BE6829" w14:textId="77777777" w:rsidR="0068461E" w:rsidRPr="00757120" w:rsidRDefault="0068461E" w:rsidP="0068461E">
      <w:pPr>
        <w:jc w:val="both"/>
        <w:rPr>
          <w:rFonts w:ascii="Book Antiqua" w:eastAsia="Trebuchet MS" w:hAnsi="Book Antiqua" w:cs="Arial"/>
          <w:bCs/>
          <w:iCs/>
          <w:color w:val="000000"/>
          <w:sz w:val="22"/>
          <w:szCs w:val="22"/>
          <w:lang w:val="fr-FR"/>
        </w:rPr>
      </w:pPr>
    </w:p>
    <w:p w14:paraId="2DAEB8E0" w14:textId="77777777" w:rsidR="0068461E" w:rsidRPr="00757120" w:rsidRDefault="00EC4DD9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hAnsi="Book Antiqua" w:cs="Arial"/>
          <w:sz w:val="22"/>
          <w:szCs w:val="22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</w:t>
      </w:r>
    </w:p>
    <w:p w14:paraId="22F723E5" w14:textId="77777777" w:rsidR="00DA0C88" w:rsidRPr="00757120" w:rsidRDefault="00EC4DD9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i/>
          <w:sz w:val="22"/>
          <w:szCs w:val="22"/>
          <w:lang w:val="fr-FR"/>
        </w:rPr>
        <w:t>N.B. Longueur de réponse non limitée</w:t>
      </w:r>
    </w:p>
    <w:p w14:paraId="7E28DCB5" w14:textId="77777777" w:rsidR="00DA0C88" w:rsidRPr="00757120" w:rsidRDefault="00DA0C88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00A807C4" w14:textId="77777777" w:rsidR="00371E0A" w:rsidRPr="00757120" w:rsidRDefault="00371E0A" w:rsidP="0068461E">
      <w:pPr>
        <w:jc w:val="both"/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</w:pPr>
    </w:p>
    <w:p w14:paraId="493E8EFE" w14:textId="77777777" w:rsidR="00371E0A" w:rsidRPr="00757120" w:rsidRDefault="00371E0A" w:rsidP="0068461E">
      <w:pPr>
        <w:jc w:val="both"/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</w:pPr>
      <w:r w:rsidRPr="00757120"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  <w:t>Renvoi à des documents annexes le cas échéant :</w:t>
      </w:r>
    </w:p>
    <w:p w14:paraId="0000873C" w14:textId="77777777" w:rsidR="00371E0A" w:rsidRPr="00757120" w:rsidRDefault="00371E0A" w:rsidP="0068461E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Intitulé précis des annexes :</w:t>
      </w:r>
    </w:p>
    <w:p w14:paraId="2F50C963" w14:textId="77777777" w:rsidR="00371E0A" w:rsidRPr="00757120" w:rsidRDefault="00371E0A" w:rsidP="0068461E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Numéros de pages se rapportant exclusivement au présent sous-critère :</w:t>
      </w:r>
    </w:p>
    <w:p w14:paraId="494AA478" w14:textId="77777777" w:rsidR="00DA0C88" w:rsidRPr="00757120" w:rsidRDefault="00DA0C88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58697174" w14:textId="1515E0A0" w:rsidR="009622B5" w:rsidRDefault="00EC4DD9" w:rsidP="009622B5">
      <w:pPr>
        <w:spacing w:after="160" w:line="259" w:lineRule="auto"/>
        <w:contextualSpacing/>
        <w:jc w:val="both"/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Sous-critère 2 </w:t>
      </w:r>
      <w:r w:rsidR="00297ABF"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-</w:t>
      </w:r>
      <w:r w:rsidR="009622B5" w:rsidRP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– </w:t>
      </w:r>
      <w:r w:rsid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L</w:t>
      </w:r>
      <w:r w:rsidR="009622B5" w:rsidRP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a capacité de </w:t>
      </w:r>
      <w:r w:rsidR="00A1041D" w:rsidRP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production</w:t>
      </w:r>
      <w:r w:rsidR="00A1041D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proofErr w:type="gramStart"/>
      <w:r w:rsidR="00A1041D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(</w:t>
      </w:r>
      <w:r w:rsid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10</w:t>
      </w:r>
      <w:proofErr w:type="gramEnd"/>
      <w:r w:rsid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%)</w:t>
      </w:r>
    </w:p>
    <w:p w14:paraId="16B29153" w14:textId="5B7DCF21" w:rsidR="009622B5" w:rsidRDefault="009622B5" w:rsidP="009622B5">
      <w:pPr>
        <w:spacing w:after="160" w:line="259" w:lineRule="auto"/>
        <w:contextualSpacing/>
        <w:jc w:val="both"/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</w:pPr>
    </w:p>
    <w:p w14:paraId="6E75B649" w14:textId="77777777" w:rsidR="009622B5" w:rsidRPr="00757120" w:rsidRDefault="009622B5" w:rsidP="009622B5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hAnsi="Book Antiqua" w:cs="Arial"/>
          <w:sz w:val="22"/>
          <w:szCs w:val="22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</w:t>
      </w:r>
    </w:p>
    <w:p w14:paraId="34DF06EE" w14:textId="77777777" w:rsidR="009622B5" w:rsidRPr="00757120" w:rsidRDefault="009622B5" w:rsidP="009622B5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i/>
          <w:sz w:val="22"/>
          <w:szCs w:val="22"/>
          <w:lang w:val="fr-FR"/>
        </w:rPr>
        <w:t>N.B. Longueur de réponse non limitée</w:t>
      </w:r>
    </w:p>
    <w:p w14:paraId="6B19AE67" w14:textId="77777777" w:rsidR="009622B5" w:rsidRPr="00757120" w:rsidRDefault="009622B5" w:rsidP="009622B5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53448C5E" w14:textId="77777777" w:rsidR="009622B5" w:rsidRPr="00757120" w:rsidRDefault="009622B5" w:rsidP="009622B5">
      <w:pPr>
        <w:jc w:val="both"/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</w:pPr>
      <w:r w:rsidRPr="00757120"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  <w:t>Renvoi à des documents annexes le cas échéant :</w:t>
      </w:r>
    </w:p>
    <w:p w14:paraId="07C9E22C" w14:textId="77777777" w:rsidR="009622B5" w:rsidRPr="00757120" w:rsidRDefault="009622B5" w:rsidP="009622B5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Intitulé précis des annexes :</w:t>
      </w:r>
    </w:p>
    <w:p w14:paraId="66F6544D" w14:textId="77777777" w:rsidR="009622B5" w:rsidRDefault="009622B5" w:rsidP="009622B5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Numéros de pages se rapportant exclusivement au présent sous-critère </w:t>
      </w:r>
    </w:p>
    <w:p w14:paraId="048004C0" w14:textId="3E42F279" w:rsidR="009622B5" w:rsidRDefault="009622B5" w:rsidP="009622B5">
      <w:pPr>
        <w:spacing w:after="160" w:line="259" w:lineRule="auto"/>
        <w:contextualSpacing/>
        <w:jc w:val="both"/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</w:pPr>
    </w:p>
    <w:p w14:paraId="78323BAB" w14:textId="77777777" w:rsidR="009622B5" w:rsidRDefault="009622B5" w:rsidP="009622B5">
      <w:p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</w:p>
    <w:p w14:paraId="4F947E7D" w14:textId="7C380BFB" w:rsidR="00DA0C88" w:rsidRPr="00757120" w:rsidRDefault="009622B5" w:rsidP="0068461E">
      <w:pPr>
        <w:jc w:val="both"/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Sous-critère</w:t>
      </w:r>
      <w:r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3</w:t>
      </w:r>
      <w:proofErr w:type="gramStart"/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-</w:t>
      </w:r>
      <w:r w:rsidRP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r w:rsidR="00297ABF"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r w:rsidR="00297ABF"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Les</w:t>
      </w:r>
      <w:proofErr w:type="gramEnd"/>
      <w:r w:rsidR="00297ABF"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compétences et les références des personnes mobilisées pour la mission</w:t>
      </w:r>
      <w:r w:rsid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(</w:t>
      </w:r>
      <w:r w:rsid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10%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)</w:t>
      </w:r>
    </w:p>
    <w:p w14:paraId="0EC554A9" w14:textId="77777777" w:rsidR="00DA0C88" w:rsidRPr="00757120" w:rsidRDefault="00DA0C88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434D834D" w14:textId="77777777" w:rsidR="0068461E" w:rsidRPr="00757120" w:rsidRDefault="00EC4DD9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hAnsi="Book Antiqua" w:cs="Arial"/>
          <w:sz w:val="22"/>
          <w:szCs w:val="22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</w:t>
      </w:r>
    </w:p>
    <w:p w14:paraId="0FB30BC0" w14:textId="77777777" w:rsidR="00DA0C88" w:rsidRPr="00757120" w:rsidRDefault="00EC4DD9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i/>
          <w:sz w:val="22"/>
          <w:szCs w:val="22"/>
          <w:lang w:val="fr-FR"/>
        </w:rPr>
        <w:t>N.B. Longueur de réponse non limitée</w:t>
      </w:r>
    </w:p>
    <w:p w14:paraId="62D67201" w14:textId="77777777" w:rsidR="00DA0C88" w:rsidRPr="00757120" w:rsidRDefault="00DA0C88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57E0857A" w14:textId="77777777" w:rsidR="00371E0A" w:rsidRPr="00757120" w:rsidRDefault="00371E0A" w:rsidP="0068461E">
      <w:pPr>
        <w:jc w:val="both"/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</w:pPr>
      <w:r w:rsidRPr="00757120"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  <w:t xml:space="preserve">Renvoi à des documents annexes le cas </w:t>
      </w:r>
      <w:r w:rsidR="0068461E" w:rsidRPr="00757120"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  <w:t>échéant :</w:t>
      </w:r>
    </w:p>
    <w:p w14:paraId="5B6D6F7D" w14:textId="77777777" w:rsidR="00371E0A" w:rsidRPr="00757120" w:rsidRDefault="00371E0A" w:rsidP="0068461E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Intitulé précis des annexes :</w:t>
      </w:r>
    </w:p>
    <w:p w14:paraId="105AE3E8" w14:textId="2C31BDEF" w:rsidR="00371E0A" w:rsidRDefault="00371E0A" w:rsidP="0068461E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Numéros de pages se rapportant exclusivement au présent sous-critère </w:t>
      </w:r>
    </w:p>
    <w:p w14:paraId="0B504DD3" w14:textId="79A4C7CC" w:rsidR="009622B5" w:rsidRDefault="009622B5" w:rsidP="009622B5">
      <w:p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</w:p>
    <w:p w14:paraId="4191D059" w14:textId="11F2CE43" w:rsidR="009622B5" w:rsidRDefault="009622B5" w:rsidP="009622B5">
      <w:p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</w:p>
    <w:p w14:paraId="09E5F86D" w14:textId="77777777" w:rsidR="00371E0A" w:rsidRPr="00757120" w:rsidRDefault="00371E0A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56782977" w14:textId="77777777" w:rsidR="00371E0A" w:rsidRPr="00757120" w:rsidRDefault="00371E0A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5ADB9917" w14:textId="3BA6A91F" w:rsidR="00757120" w:rsidRPr="00757120" w:rsidRDefault="00757120" w:rsidP="00757120">
      <w:pPr>
        <w:jc w:val="both"/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Sous-critère </w:t>
      </w:r>
      <w:r w:rsid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4</w:t>
      </w:r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- </w:t>
      </w:r>
      <w:r w:rsidR="00297ABF"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La cohérence du planning proposé avec les délais du projet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proofErr w:type="gramStart"/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(</w:t>
      </w:r>
      <w:r w:rsid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5</w:t>
      </w:r>
      <w:proofErr w:type="gramEnd"/>
      <w:r w:rsid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%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)</w:t>
      </w:r>
    </w:p>
    <w:p w14:paraId="358CDF8C" w14:textId="77777777" w:rsidR="00757120" w:rsidRPr="00757120" w:rsidRDefault="00757120" w:rsidP="00757120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7868CFAE" w14:textId="77777777" w:rsidR="00757120" w:rsidRPr="00757120" w:rsidRDefault="00757120" w:rsidP="00757120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hAnsi="Book Antiqua" w:cs="Arial"/>
          <w:sz w:val="22"/>
          <w:szCs w:val="22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</w:t>
      </w:r>
    </w:p>
    <w:p w14:paraId="67F42D89" w14:textId="77777777" w:rsidR="00757120" w:rsidRPr="00757120" w:rsidRDefault="00757120" w:rsidP="00757120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i/>
          <w:sz w:val="22"/>
          <w:szCs w:val="22"/>
          <w:lang w:val="fr-FR"/>
        </w:rPr>
        <w:t>N.B. Longueur de réponse non limitée</w:t>
      </w:r>
    </w:p>
    <w:p w14:paraId="1D83CD31" w14:textId="77777777" w:rsidR="00757120" w:rsidRPr="00757120" w:rsidRDefault="00757120" w:rsidP="00757120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6463A445" w14:textId="77777777" w:rsidR="00757120" w:rsidRPr="00757120" w:rsidRDefault="00757120" w:rsidP="00757120">
      <w:pPr>
        <w:jc w:val="both"/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</w:pPr>
      <w:r w:rsidRPr="00757120"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  <w:t>Renvoi à des documents annexes le cas échéant :</w:t>
      </w:r>
    </w:p>
    <w:p w14:paraId="5DA1D23E" w14:textId="77777777" w:rsidR="00757120" w:rsidRPr="00757120" w:rsidRDefault="00757120" w:rsidP="00757120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Intitulé précis des annexes :</w:t>
      </w:r>
    </w:p>
    <w:p w14:paraId="240B72EF" w14:textId="7ADF3EA0" w:rsidR="00757120" w:rsidRDefault="00757120" w:rsidP="00757120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Numéros de pages se rapportant exclusivement au présent sous-critère </w:t>
      </w:r>
    </w:p>
    <w:p w14:paraId="61728426" w14:textId="51F0C748" w:rsidR="00297ABF" w:rsidRDefault="00297ABF" w:rsidP="00297ABF">
      <w:p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</w:p>
    <w:p w14:paraId="64F3CA55" w14:textId="42E612A4" w:rsidR="00297ABF" w:rsidRDefault="00297ABF" w:rsidP="00297ABF">
      <w:p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</w:p>
    <w:p w14:paraId="0F65EDC1" w14:textId="4FDADF07" w:rsidR="00297ABF" w:rsidRPr="0067007C" w:rsidRDefault="0067007C" w:rsidP="00297ABF">
      <w:pPr>
        <w:spacing w:after="160" w:line="259" w:lineRule="auto"/>
        <w:contextualSpacing/>
        <w:jc w:val="both"/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</w:pPr>
      <w:r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</w:p>
    <w:p w14:paraId="70FC2FF6" w14:textId="04E0A1F9" w:rsidR="00297ABF" w:rsidRDefault="00297ABF" w:rsidP="00297ABF">
      <w:pPr>
        <w:spacing w:after="160" w:line="259" w:lineRule="auto"/>
        <w:contextualSpacing/>
        <w:jc w:val="both"/>
        <w:rPr>
          <w:rFonts w:ascii="Book Antiqua" w:eastAsia="Trebuchet MS" w:hAnsi="Book Antiqua" w:cs="Trebuchet MS"/>
          <w:i/>
          <w:sz w:val="20"/>
          <w:szCs w:val="20"/>
          <w:lang w:val="fr-FR" w:eastAsia="en-US"/>
        </w:rPr>
      </w:pPr>
      <w:r w:rsidRPr="00757120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Sous-critère </w:t>
      </w:r>
      <w:r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5</w:t>
      </w:r>
      <w:r w:rsidR="009622B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r w:rsidRPr="00297ABF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-La qualité du dossier, en matière de précisions et de présentation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 xml:space="preserve"> </w:t>
      </w:r>
      <w:r w:rsidR="004A10C5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(5</w:t>
      </w:r>
      <w:r w:rsidR="0067007C">
        <w:rPr>
          <w:rFonts w:ascii="Book Antiqua" w:eastAsia="Trebuchet MS" w:hAnsi="Book Antiqua" w:cs="Arial"/>
          <w:b/>
          <w:i/>
          <w:color w:val="000000"/>
          <w:sz w:val="22"/>
          <w:szCs w:val="22"/>
          <w:lang w:val="fr-FR"/>
        </w:rPr>
        <w:t>%)</w:t>
      </w:r>
    </w:p>
    <w:p w14:paraId="20054526" w14:textId="77777777" w:rsidR="00297ABF" w:rsidRPr="00757120" w:rsidRDefault="00297ABF" w:rsidP="00297ABF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hAnsi="Book Antiqua" w:cs="Arial"/>
          <w:sz w:val="22"/>
          <w:szCs w:val="22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</w:t>
      </w:r>
    </w:p>
    <w:p w14:paraId="053A7B3B" w14:textId="77777777" w:rsidR="00297ABF" w:rsidRPr="00757120" w:rsidRDefault="00297ABF" w:rsidP="00297ABF">
      <w:pPr>
        <w:jc w:val="both"/>
        <w:rPr>
          <w:rFonts w:ascii="Book Antiqua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i/>
          <w:sz w:val="22"/>
          <w:szCs w:val="22"/>
          <w:lang w:val="fr-FR"/>
        </w:rPr>
        <w:t>N.B. Longueur de réponse non limitée</w:t>
      </w:r>
    </w:p>
    <w:p w14:paraId="2F96314B" w14:textId="77777777" w:rsidR="00297ABF" w:rsidRPr="00757120" w:rsidRDefault="00297ABF" w:rsidP="00297ABF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2FEDE031" w14:textId="77777777" w:rsidR="00297ABF" w:rsidRPr="00757120" w:rsidRDefault="00297ABF" w:rsidP="00297ABF">
      <w:pPr>
        <w:jc w:val="both"/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</w:pPr>
      <w:r w:rsidRPr="00757120">
        <w:rPr>
          <w:rFonts w:ascii="Book Antiqua" w:hAnsi="Book Antiqua" w:cs="Arial"/>
          <w:b/>
          <w:color w:val="000000" w:themeColor="text1"/>
          <w:sz w:val="22"/>
          <w:szCs w:val="22"/>
          <w:lang w:val="fr-FR"/>
        </w:rPr>
        <w:t>Renvoi à des documents annexes le cas échéant :</w:t>
      </w:r>
    </w:p>
    <w:p w14:paraId="53BE7863" w14:textId="77777777" w:rsidR="00297ABF" w:rsidRPr="00757120" w:rsidRDefault="00297ABF" w:rsidP="00297ABF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  <w:r w:rsidRPr="00757120">
        <w:rPr>
          <w:rFonts w:ascii="Book Antiqua" w:hAnsi="Book Antiqua" w:cs="Arial"/>
          <w:color w:val="000000" w:themeColor="text1"/>
          <w:sz w:val="22"/>
          <w:szCs w:val="22"/>
        </w:rPr>
        <w:t>Intitulé précis des annexes :</w:t>
      </w:r>
    </w:p>
    <w:p w14:paraId="54F36E8D" w14:textId="7D262D0E" w:rsidR="00297ABF" w:rsidRPr="00297ABF" w:rsidRDefault="00297ABF" w:rsidP="00297ABF">
      <w:pPr>
        <w:pStyle w:val="Paragraphedeliste"/>
        <w:numPr>
          <w:ilvl w:val="0"/>
          <w:numId w:val="1"/>
        </w:numPr>
        <w:spacing w:after="160" w:line="259" w:lineRule="auto"/>
        <w:contextualSpacing/>
        <w:jc w:val="both"/>
        <w:rPr>
          <w:rFonts w:ascii="Book Antiqua" w:eastAsia="Trebuchet MS" w:hAnsi="Book Antiqua" w:cs="Trebuchet MS"/>
          <w:i/>
          <w:lang w:eastAsia="en-US"/>
        </w:rPr>
      </w:pPr>
      <w:r w:rsidRPr="00297ABF">
        <w:rPr>
          <w:rFonts w:ascii="Book Antiqua" w:hAnsi="Book Antiqua" w:cs="Arial"/>
          <w:color w:val="000000" w:themeColor="text1"/>
          <w:sz w:val="22"/>
          <w:szCs w:val="22"/>
        </w:rPr>
        <w:t>Numéros de pages se rapportant exclusivement au présent sous-critère </w:t>
      </w:r>
    </w:p>
    <w:p w14:paraId="3C9B6733" w14:textId="77777777" w:rsidR="00297ABF" w:rsidRPr="00297ABF" w:rsidRDefault="00297ABF" w:rsidP="00297ABF">
      <w:pPr>
        <w:spacing w:after="160" w:line="259" w:lineRule="auto"/>
        <w:contextualSpacing/>
        <w:jc w:val="both"/>
        <w:rPr>
          <w:rFonts w:ascii="Book Antiqua" w:eastAsia="Trebuchet MS" w:hAnsi="Book Antiqua" w:cs="Trebuchet MS"/>
          <w:i/>
          <w:lang w:eastAsia="en-US"/>
        </w:rPr>
      </w:pPr>
    </w:p>
    <w:p w14:paraId="0153C9B8" w14:textId="066E41CF" w:rsidR="00297ABF" w:rsidRDefault="00297ABF" w:rsidP="00297ABF">
      <w:pPr>
        <w:spacing w:after="160" w:line="259" w:lineRule="auto"/>
        <w:contextualSpacing/>
        <w:jc w:val="both"/>
        <w:rPr>
          <w:rFonts w:ascii="Book Antiqua" w:eastAsia="Trebuchet MS" w:hAnsi="Book Antiqua" w:cs="Trebuchet MS"/>
          <w:i/>
          <w:sz w:val="20"/>
          <w:szCs w:val="20"/>
          <w:lang w:val="fr-FR" w:eastAsia="en-US"/>
        </w:rPr>
      </w:pPr>
    </w:p>
    <w:p w14:paraId="4EDF4AE3" w14:textId="77777777" w:rsidR="00297ABF" w:rsidRPr="00297ABF" w:rsidRDefault="00297ABF" w:rsidP="00297ABF">
      <w:pPr>
        <w:spacing w:after="160" w:line="259" w:lineRule="auto"/>
        <w:contextualSpacing/>
        <w:jc w:val="both"/>
        <w:rPr>
          <w:rFonts w:ascii="Book Antiqua" w:hAnsi="Book Antiqua" w:cs="Arial"/>
          <w:color w:val="000000" w:themeColor="text1"/>
          <w:sz w:val="22"/>
          <w:szCs w:val="22"/>
        </w:rPr>
      </w:pPr>
    </w:p>
    <w:p w14:paraId="66450F91" w14:textId="77777777" w:rsidR="00371E0A" w:rsidRPr="00757120" w:rsidRDefault="00371E0A" w:rsidP="0068461E">
      <w:pPr>
        <w:jc w:val="both"/>
        <w:rPr>
          <w:rFonts w:ascii="Book Antiqua" w:hAnsi="Book Antiqua" w:cs="Arial"/>
          <w:sz w:val="22"/>
          <w:szCs w:val="22"/>
          <w:lang w:val="fr-FR"/>
        </w:rPr>
      </w:pPr>
    </w:p>
    <w:p w14:paraId="0273183A" w14:textId="77777777" w:rsidR="00DA0C88" w:rsidRPr="00757120" w:rsidRDefault="00EC4DD9" w:rsidP="0068461E">
      <w:pPr>
        <w:ind w:left="4536"/>
        <w:jc w:val="both"/>
        <w:rPr>
          <w:rFonts w:ascii="Book Antiqua" w:eastAsia="Trebuchet MS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sz w:val="22"/>
          <w:szCs w:val="22"/>
          <w:lang w:val="fr-FR"/>
        </w:rPr>
        <w:t>À ………………………………………, le ………………………</w:t>
      </w:r>
    </w:p>
    <w:p w14:paraId="147527CA" w14:textId="77777777" w:rsidR="00DA0C88" w:rsidRPr="00757120" w:rsidRDefault="00EC4DD9" w:rsidP="0068461E">
      <w:pPr>
        <w:ind w:left="4536"/>
        <w:jc w:val="both"/>
        <w:rPr>
          <w:rFonts w:ascii="Book Antiqua" w:eastAsia="Trebuchet MS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sz w:val="22"/>
          <w:szCs w:val="22"/>
          <w:lang w:val="fr-FR"/>
        </w:rPr>
        <w:t>Le (ou les) candidat(s) </w:t>
      </w:r>
    </w:p>
    <w:p w14:paraId="6D842522" w14:textId="77777777" w:rsidR="00371E0A" w:rsidRPr="00757120" w:rsidRDefault="00EC4DD9" w:rsidP="0068461E">
      <w:pPr>
        <w:ind w:left="4536"/>
        <w:jc w:val="both"/>
        <w:rPr>
          <w:rFonts w:ascii="Book Antiqua" w:eastAsia="Trebuchet MS" w:hAnsi="Book Antiqua" w:cs="Arial"/>
          <w:sz w:val="22"/>
          <w:szCs w:val="22"/>
          <w:lang w:val="fr-FR"/>
        </w:rPr>
      </w:pPr>
      <w:r w:rsidRPr="00757120">
        <w:rPr>
          <w:rFonts w:ascii="Book Antiqua" w:eastAsia="Trebuchet MS" w:hAnsi="Book Antiqua" w:cs="Arial"/>
          <w:sz w:val="22"/>
          <w:szCs w:val="22"/>
          <w:lang w:val="fr-FR"/>
        </w:rPr>
        <w:t>(</w:t>
      </w:r>
      <w:r w:rsidR="00757120" w:rsidRPr="00757120">
        <w:rPr>
          <w:rFonts w:ascii="Book Antiqua" w:eastAsia="Trebuchet MS" w:hAnsi="Book Antiqua" w:cs="Arial"/>
          <w:sz w:val="22"/>
          <w:szCs w:val="22"/>
          <w:lang w:val="fr-FR"/>
        </w:rPr>
        <w:t>Représentant</w:t>
      </w:r>
      <w:r w:rsidRPr="00757120">
        <w:rPr>
          <w:rFonts w:ascii="Book Antiqua" w:eastAsia="Trebuchet MS" w:hAnsi="Book Antiqua" w:cs="Arial"/>
          <w:sz w:val="22"/>
          <w:szCs w:val="22"/>
          <w:lang w:val="fr-FR"/>
        </w:rPr>
        <w:t>(s) habilité(s) pour signer le marché)</w:t>
      </w:r>
    </w:p>
    <w:p w14:paraId="01917567" w14:textId="77777777" w:rsidR="00DA0C88" w:rsidRPr="003D1F63" w:rsidRDefault="00DA0C88" w:rsidP="00371E0A">
      <w:pPr>
        <w:rPr>
          <w:rFonts w:ascii="Trebuchet MS" w:eastAsia="Trebuchet MS" w:hAnsi="Trebuchet MS" w:cs="Trebuchet MS"/>
          <w:sz w:val="22"/>
          <w:szCs w:val="22"/>
          <w:lang w:val="fr-FR"/>
        </w:rPr>
      </w:pPr>
    </w:p>
    <w:sectPr w:rsidR="00DA0C88" w:rsidRPr="003D1F63" w:rsidSect="0090674C">
      <w:pgSz w:w="11906" w:h="16838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9D077" w14:textId="77777777" w:rsidR="003C78E3" w:rsidRDefault="003C78E3" w:rsidP="00371E0A">
      <w:r>
        <w:separator/>
      </w:r>
    </w:p>
  </w:endnote>
  <w:endnote w:type="continuationSeparator" w:id="0">
    <w:p w14:paraId="0C69D4FF" w14:textId="77777777" w:rsidR="003C78E3" w:rsidRDefault="003C78E3" w:rsidP="0037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andon Grotesque Regular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0D107" w14:textId="726C7D82" w:rsidR="009622B5" w:rsidRPr="009622B5" w:rsidRDefault="009622B5" w:rsidP="009622B5">
    <w:pPr>
      <w:pBdr>
        <w:top w:val="nil"/>
        <w:left w:val="nil"/>
        <w:bottom w:val="nil"/>
        <w:right w:val="nil"/>
        <w:between w:val="nil"/>
      </w:pBdr>
      <w:spacing w:line="233" w:lineRule="auto"/>
      <w:ind w:left="40" w:right="23"/>
      <w:jc w:val="both"/>
      <w:rPr>
        <w:rFonts w:ascii="Book Antiqua" w:eastAsia="Trebuchet MS" w:hAnsi="Book Antiqua" w:cs="Trebuchet MS"/>
        <w:bCs/>
        <w:sz w:val="18"/>
        <w:szCs w:val="18"/>
        <w:lang w:val="fr-FR" w:eastAsia="en-US"/>
      </w:rPr>
    </w:pPr>
    <w:r>
      <w:rPr>
        <w:rFonts w:ascii="Book Antiqua" w:eastAsia="Trebuchet MS" w:hAnsi="Book Antiqua" w:cs="Trebuchet MS"/>
        <w:bCs/>
        <w:sz w:val="18"/>
        <w:szCs w:val="18"/>
        <w:lang w:val="fr-FR" w:eastAsia="en-US"/>
      </w:rPr>
      <w:t xml:space="preserve">MT- </w:t>
    </w:r>
    <w:r w:rsidRPr="009622B5">
      <w:rPr>
        <w:rFonts w:ascii="Book Antiqua" w:eastAsia="Trebuchet MS" w:hAnsi="Book Antiqua" w:cs="Trebuchet MS"/>
        <w:bCs/>
        <w:sz w:val="18"/>
        <w:szCs w:val="18"/>
        <w:lang w:val="fr-FR" w:eastAsia="en-US"/>
      </w:rPr>
      <w:t>Elaboration des cartes d’évolution du trait de côte dans le cadre de loi Climat et Résilience pour le compte de la commune de Deshaies</w:t>
    </w:r>
  </w:p>
  <w:p w14:paraId="117FB484" w14:textId="77777777" w:rsidR="009622B5" w:rsidRPr="009622B5" w:rsidRDefault="009622B5" w:rsidP="009622B5">
    <w:pPr>
      <w:spacing w:line="232" w:lineRule="exact"/>
      <w:ind w:left="40" w:right="20"/>
      <w:jc w:val="both"/>
      <w:rPr>
        <w:rFonts w:ascii="Book Antiqua" w:eastAsia="Trebuchet MS" w:hAnsi="Book Antiqua" w:cs="Trebuchet MS"/>
        <w:bCs/>
        <w:color w:val="000000"/>
        <w:sz w:val="18"/>
        <w:szCs w:val="18"/>
        <w:lang w:val="fr-FR" w:eastAsia="en-US"/>
      </w:rPr>
    </w:pPr>
  </w:p>
  <w:p w14:paraId="5DF4A4FB" w14:textId="77777777" w:rsidR="009622B5" w:rsidRDefault="009622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49FAC" w14:textId="77777777" w:rsidR="003C78E3" w:rsidRDefault="003C78E3" w:rsidP="00371E0A">
      <w:r>
        <w:separator/>
      </w:r>
    </w:p>
  </w:footnote>
  <w:footnote w:type="continuationSeparator" w:id="0">
    <w:p w14:paraId="6ED1B110" w14:textId="77777777" w:rsidR="003C78E3" w:rsidRDefault="003C78E3" w:rsidP="00371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D12AA"/>
    <w:multiLevelType w:val="hybridMultilevel"/>
    <w:tmpl w:val="85348610"/>
    <w:lvl w:ilvl="0" w:tplc="56F0A80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88"/>
    <w:rsid w:val="000A6DF0"/>
    <w:rsid w:val="00170216"/>
    <w:rsid w:val="00297ABF"/>
    <w:rsid w:val="00371E0A"/>
    <w:rsid w:val="003C78E3"/>
    <w:rsid w:val="003D1F63"/>
    <w:rsid w:val="004A10C5"/>
    <w:rsid w:val="00506164"/>
    <w:rsid w:val="0053461D"/>
    <w:rsid w:val="005D4A92"/>
    <w:rsid w:val="0067007C"/>
    <w:rsid w:val="0068461E"/>
    <w:rsid w:val="006C43A4"/>
    <w:rsid w:val="00757120"/>
    <w:rsid w:val="007A67D7"/>
    <w:rsid w:val="008461FE"/>
    <w:rsid w:val="0090674C"/>
    <w:rsid w:val="00921448"/>
    <w:rsid w:val="00926354"/>
    <w:rsid w:val="009622B5"/>
    <w:rsid w:val="009A020E"/>
    <w:rsid w:val="00A1041D"/>
    <w:rsid w:val="00A273B9"/>
    <w:rsid w:val="00A3100C"/>
    <w:rsid w:val="00A34095"/>
    <w:rsid w:val="00A71F7D"/>
    <w:rsid w:val="00B224E8"/>
    <w:rsid w:val="00C95A73"/>
    <w:rsid w:val="00DA0C88"/>
    <w:rsid w:val="00EC4DD9"/>
    <w:rsid w:val="00FE7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76001"/>
  <w15:docId w15:val="{45797661-8486-B642-83D3-3AEE1874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884"/>
    <w:rPr>
      <w:lang w:val="en-US"/>
    </w:rPr>
  </w:style>
  <w:style w:type="paragraph" w:styleId="Titre1">
    <w:name w:val="heading 1"/>
    <w:basedOn w:val="Normal"/>
    <w:next w:val="Normal"/>
    <w:uiPriority w:val="9"/>
    <w:qFormat/>
    <w:rsid w:val="0090674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rsid w:val="009067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rsid w:val="009067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rsid w:val="0090674C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rsid w:val="0090674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rsid w:val="0090674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rsid w:val="009067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rsid w:val="0090674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BMSAM">
    <w:name w:val="BM SAM"/>
    <w:basedOn w:val="Normal"/>
    <w:link w:val="BMSAMCarCar"/>
    <w:rsid w:val="00356884"/>
    <w:pPr>
      <w:spacing w:after="120"/>
      <w:jc w:val="both"/>
    </w:pPr>
    <w:rPr>
      <w:rFonts w:ascii="Verdana" w:hAnsi="Verdana"/>
      <w:sz w:val="20"/>
      <w:szCs w:val="20"/>
      <w:lang w:val="fr-FR"/>
    </w:rPr>
  </w:style>
  <w:style w:type="character" w:customStyle="1" w:styleId="BMSAMCarCar">
    <w:name w:val="BM SAM Car Car"/>
    <w:basedOn w:val="Policepardfaut"/>
    <w:link w:val="BMSAM"/>
    <w:locked/>
    <w:rsid w:val="00356884"/>
    <w:rPr>
      <w:rFonts w:ascii="Verdana" w:eastAsia="Times New Roman" w:hAnsi="Verdana" w:cs="Times New Roman"/>
      <w:sz w:val="20"/>
      <w:szCs w:val="20"/>
      <w:lang w:val="fr-FR"/>
    </w:rPr>
  </w:style>
  <w:style w:type="paragraph" w:styleId="Paragraphedeliste">
    <w:name w:val="List Paragraph"/>
    <w:basedOn w:val="Normal"/>
    <w:uiPriority w:val="34"/>
    <w:qFormat/>
    <w:rsid w:val="00356884"/>
    <w:pPr>
      <w:ind w:left="708"/>
    </w:pPr>
    <w:rPr>
      <w:rFonts w:ascii="Univers" w:hAnsi="Univers" w:cs="Univers"/>
      <w:sz w:val="20"/>
      <w:szCs w:val="20"/>
      <w:lang w:val="fr-FR"/>
    </w:rPr>
  </w:style>
  <w:style w:type="paragraph" w:styleId="Notedebasdepage">
    <w:name w:val="footnote text"/>
    <w:basedOn w:val="Normal"/>
    <w:link w:val="NotedebasdepageCar"/>
    <w:semiHidden/>
    <w:rsid w:val="00075B93"/>
    <w:rPr>
      <w:rFonts w:ascii="Univers" w:hAnsi="Univers" w:cs="Univers"/>
      <w:sz w:val="20"/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75B93"/>
    <w:rPr>
      <w:rFonts w:ascii="Univers" w:eastAsia="Times New Roman" w:hAnsi="Univers" w:cs="Univers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075B93"/>
    <w:rPr>
      <w:vertAlign w:val="superscript"/>
    </w:rPr>
  </w:style>
  <w:style w:type="table" w:styleId="Grilledutableau">
    <w:name w:val="Table Grid"/>
    <w:basedOn w:val="TableauNormal"/>
    <w:uiPriority w:val="39"/>
    <w:rsid w:val="006B1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uiPriority w:val="11"/>
    <w:qFormat/>
    <w:rsid w:val="009067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0674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90674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90674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90674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A6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67D7"/>
    <w:rPr>
      <w:rFonts w:ascii="Tahoma" w:hAnsi="Tahoma" w:cs="Tahoma"/>
      <w:sz w:val="16"/>
      <w:szCs w:val="16"/>
      <w:lang w:val="en-US"/>
    </w:rPr>
  </w:style>
  <w:style w:type="paragraph" w:styleId="En-tte">
    <w:name w:val="header"/>
    <w:basedOn w:val="Normal"/>
    <w:link w:val="En-tteCar"/>
    <w:uiPriority w:val="99"/>
    <w:unhideWhenUsed/>
    <w:rsid w:val="00371E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1E0A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71E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1E0A"/>
    <w:rPr>
      <w:lang w:val="en-US"/>
    </w:rPr>
  </w:style>
  <w:style w:type="paragraph" w:customStyle="1" w:styleId="style1010">
    <w:name w:val="style1|010"/>
    <w:qFormat/>
    <w:rsid w:val="00757120"/>
    <w:rPr>
      <w:rFonts w:ascii="Trebuchet MS" w:eastAsia="Trebuchet MS" w:hAnsi="Trebuchet MS" w:cs="Trebuchet MS"/>
      <w:sz w:val="20"/>
      <w:szCs w:val="20"/>
      <w:lang w:val="en-US" w:eastAsia="en-US"/>
    </w:rPr>
  </w:style>
  <w:style w:type="character" w:styleId="Marquedecommentaire">
    <w:name w:val="annotation reference"/>
    <w:basedOn w:val="Policepardfaut"/>
    <w:rsid w:val="009622B5"/>
    <w:rPr>
      <w:sz w:val="16"/>
      <w:szCs w:val="16"/>
    </w:rPr>
  </w:style>
  <w:style w:type="paragraph" w:styleId="Commentaire">
    <w:name w:val="annotation text"/>
    <w:basedOn w:val="Normal"/>
    <w:link w:val="CommentaireCar"/>
    <w:rsid w:val="009622B5"/>
    <w:rPr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9622B5"/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p+LUqLBaJABu1I3eNjK5Ip6ixw==">AMUW2mWcB3w/WG/Sd/pp4rEz6JnavWmpN6LaS0ZAIeO4CLY/JoVKOFhWl2sIY6S+iq1qiJrdRtN0XAi9YEgcGRpqjOp2r7O2FmwCeau/GIpxpyDRgteD1e0=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Néïma UGOLIN</cp:lastModifiedBy>
  <cp:revision>7</cp:revision>
  <dcterms:created xsi:type="dcterms:W3CDTF">2024-10-14T14:21:00Z</dcterms:created>
  <dcterms:modified xsi:type="dcterms:W3CDTF">2024-10-14T14:34:00Z</dcterms:modified>
</cp:coreProperties>
</file>