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D6" w:rsidRDefault="00041908">
      <w:pPr>
        <w:spacing w:after="0" w:line="259" w:lineRule="auto"/>
        <w:ind w:left="51" w:firstLine="0"/>
        <w:jc w:val="center"/>
      </w:pPr>
      <w:r>
        <w:rPr>
          <w:noProof/>
        </w:rPr>
        <w:drawing>
          <wp:inline distT="0" distB="0" distL="0" distR="0">
            <wp:extent cx="2705100" cy="143865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2705100" cy="1438656"/>
                    </a:xfrm>
                    <a:prstGeom prst="rect">
                      <a:avLst/>
                    </a:prstGeom>
                  </pic:spPr>
                </pic:pic>
              </a:graphicData>
            </a:graphic>
          </wp:inline>
        </w:drawing>
      </w: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63" w:line="259" w:lineRule="auto"/>
        <w:ind w:left="52" w:firstLine="0"/>
        <w:jc w:val="center"/>
      </w:pPr>
      <w:r>
        <w:rPr>
          <w:b/>
          <w:sz w:val="22"/>
        </w:rPr>
        <w:t xml:space="preserve"> </w:t>
      </w:r>
    </w:p>
    <w:p w:rsidR="004F653F" w:rsidRDefault="00041908">
      <w:pPr>
        <w:pStyle w:val="Titre1"/>
      </w:pPr>
      <w:r>
        <w:t>Avis d'appel public à la concur</w:t>
      </w:r>
      <w:r w:rsidR="00FD29F7">
        <w:t xml:space="preserve">rence (AAPC) </w:t>
      </w:r>
    </w:p>
    <w:p w:rsidR="008015FB" w:rsidRPr="008015FB" w:rsidRDefault="008015FB" w:rsidP="008015FB">
      <w:pPr>
        <w:pStyle w:val="RedNomDoc"/>
        <w:widowControl/>
      </w:pPr>
      <w:r>
        <w:t xml:space="preserve">MAPA </w:t>
      </w:r>
      <w:r w:rsidRPr="008015FB">
        <w:t xml:space="preserve">N°2024-PAP-DST-07 </w:t>
      </w:r>
    </w:p>
    <w:p w:rsidR="008574D6" w:rsidRDefault="00041908" w:rsidP="008015FB">
      <w:pPr>
        <w:pStyle w:val="Titre1"/>
      </w:pPr>
      <w:r>
        <w:rPr>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10" w:line="249" w:lineRule="auto"/>
        <w:ind w:right="6"/>
        <w:jc w:val="center"/>
      </w:pPr>
      <w:r>
        <w:rPr>
          <w:b/>
        </w:rPr>
        <w:t xml:space="preserve">Personne Publique : Ville de Pointe-à-Pitre </w:t>
      </w:r>
    </w:p>
    <w:p w:rsidR="008574D6" w:rsidRDefault="00041908">
      <w:pPr>
        <w:spacing w:after="39" w:line="259" w:lineRule="auto"/>
        <w:ind w:left="52" w:firstLine="0"/>
        <w:jc w:val="center"/>
      </w:pPr>
      <w:r>
        <w:rPr>
          <w:b/>
          <w:sz w:val="22"/>
        </w:rPr>
        <w:t xml:space="preserve"> </w:t>
      </w:r>
    </w:p>
    <w:p w:rsidR="008574D6" w:rsidRDefault="00041908">
      <w:pPr>
        <w:spacing w:after="0" w:line="259" w:lineRule="auto"/>
        <w:ind w:left="0" w:right="8" w:firstLine="0"/>
        <w:jc w:val="center"/>
      </w:pPr>
      <w:r>
        <w:rPr>
          <w:b/>
          <w:sz w:val="28"/>
        </w:rPr>
        <w:t>Hôtel de Ville Place des Martyrs de la Liberté BP 111</w:t>
      </w:r>
      <w:r>
        <w:rPr>
          <w:b/>
          <w:sz w:val="30"/>
        </w:rPr>
        <w:t xml:space="preserve"> </w:t>
      </w:r>
    </w:p>
    <w:p w:rsidR="008574D6" w:rsidRDefault="00041908">
      <w:pPr>
        <w:spacing w:after="0" w:line="259" w:lineRule="auto"/>
        <w:ind w:left="67" w:firstLine="0"/>
        <w:jc w:val="center"/>
      </w:pPr>
      <w:r>
        <w:rPr>
          <w:b/>
          <w:sz w:val="28"/>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65" w:line="259" w:lineRule="auto"/>
        <w:ind w:left="52" w:firstLine="0"/>
        <w:jc w:val="center"/>
      </w:pPr>
      <w:r>
        <w:rPr>
          <w:b/>
          <w:sz w:val="22"/>
        </w:rPr>
        <w:t xml:space="preserve"> </w:t>
      </w:r>
    </w:p>
    <w:p w:rsidR="008015FB" w:rsidRPr="008015FB" w:rsidRDefault="008015FB" w:rsidP="008015FB">
      <w:pPr>
        <w:keepNext/>
        <w:shd w:val="pct5" w:color="auto" w:fill="FFFFFF"/>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TRAVAUX DE REABILITATION DU HALL DES SPORTS PAUL CHONCHON</w:t>
      </w:r>
    </w:p>
    <w:p w:rsidR="00B5293F" w:rsidRDefault="00B5293F" w:rsidP="00B5293F">
      <w:pPr>
        <w:spacing w:after="0" w:line="259" w:lineRule="auto"/>
        <w:ind w:left="52" w:firstLine="0"/>
        <w:jc w:val="center"/>
        <w:rPr>
          <w:b/>
          <w:sz w:val="22"/>
        </w:rPr>
      </w:pPr>
    </w:p>
    <w:p w:rsidR="00B5293F" w:rsidRDefault="00B5293F" w:rsidP="00B5293F">
      <w:pPr>
        <w:spacing w:after="0" w:line="259" w:lineRule="auto"/>
        <w:ind w:left="52" w:firstLine="0"/>
        <w:jc w:val="center"/>
        <w:rPr>
          <w:b/>
          <w:sz w:val="22"/>
        </w:rPr>
      </w:pP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LOT 1 : ACCESSIBILITE PMR</w:t>
      </w: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LOT 2 : ELEVATEUR</w:t>
      </w: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LOT 3 : TRAVAUX CLOS ET COUVERTS</w:t>
      </w: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LOT 4 : ELECTRICITE COURANTS FORTS ET FAIBLES</w:t>
      </w: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Times New Roman"/>
          <w:b/>
          <w:color w:val="auto"/>
          <w:sz w:val="32"/>
          <w:szCs w:val="32"/>
        </w:rPr>
      </w:pPr>
      <w:r w:rsidRPr="008015FB">
        <w:rPr>
          <w:rFonts w:eastAsia="Times New Roman" w:cs="Times New Roman"/>
          <w:b/>
          <w:color w:val="auto"/>
          <w:sz w:val="32"/>
          <w:szCs w:val="32"/>
        </w:rPr>
        <w:t>LOT 5 : TRAVAUX DE REMPLACEMENT DU SSI DU HDS</w:t>
      </w:r>
    </w:p>
    <w:p w:rsidR="008015FB" w:rsidRPr="008015FB" w:rsidRDefault="008015FB" w:rsidP="008015FB">
      <w:pPr>
        <w:keepNext/>
        <w:shd w:val="pct5" w:color="auto" w:fill="auto"/>
        <w:autoSpaceDE w:val="0"/>
        <w:autoSpaceDN w:val="0"/>
        <w:adjustRightInd w:val="0"/>
        <w:spacing w:after="0" w:line="240" w:lineRule="auto"/>
        <w:ind w:left="0" w:firstLine="0"/>
        <w:jc w:val="center"/>
        <w:rPr>
          <w:rFonts w:eastAsia="Times New Roman" w:cs="Arial"/>
          <w:b/>
          <w:bCs/>
          <w:color w:val="auto"/>
          <w:sz w:val="22"/>
        </w:rPr>
      </w:pPr>
    </w:p>
    <w:p w:rsidR="008574D6" w:rsidRDefault="008574D6">
      <w:pPr>
        <w:spacing w:after="0" w:line="259" w:lineRule="auto"/>
        <w:ind w:left="52" w:firstLine="0"/>
        <w:jc w:val="center"/>
      </w:pPr>
    </w:p>
    <w:p w:rsidR="004F653F" w:rsidRPr="004F653F" w:rsidRDefault="004F653F" w:rsidP="004F653F">
      <w:pPr>
        <w:spacing w:after="0" w:line="259" w:lineRule="auto"/>
        <w:ind w:left="52" w:firstLine="0"/>
        <w:jc w:val="center"/>
        <w:rPr>
          <w:b/>
          <w:sz w:val="22"/>
        </w:rPr>
      </w:pPr>
      <w:r w:rsidRPr="004F653F">
        <w:rPr>
          <w:b/>
          <w:sz w:val="22"/>
        </w:rPr>
        <w:t>La procédure de consultation utilisée est la suivante :</w:t>
      </w:r>
    </w:p>
    <w:p w:rsidR="008574D6" w:rsidRDefault="004F653F" w:rsidP="004F653F">
      <w:pPr>
        <w:spacing w:after="0" w:line="259" w:lineRule="auto"/>
        <w:ind w:left="52" w:firstLine="0"/>
        <w:jc w:val="center"/>
      </w:pPr>
      <w:r w:rsidRPr="004F653F">
        <w:rPr>
          <w:b/>
          <w:sz w:val="22"/>
        </w:rPr>
        <w:t>APPEL D’OFFRES en application des articles 2161-2 à 2161-5- du Code de la Commande Publique</w:t>
      </w:r>
      <w:r w:rsidR="00041908">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8574D6" w:rsidRDefault="00041908">
      <w:pPr>
        <w:spacing w:after="0" w:line="259" w:lineRule="auto"/>
        <w:ind w:left="52" w:firstLine="0"/>
        <w:jc w:val="center"/>
      </w:pPr>
      <w:r>
        <w:rPr>
          <w:b/>
          <w:sz w:val="22"/>
        </w:rPr>
        <w:t xml:space="preserve"> </w:t>
      </w:r>
    </w:p>
    <w:p w:rsidR="00FB7853" w:rsidRDefault="00FB7853">
      <w:pPr>
        <w:spacing w:after="28" w:line="259" w:lineRule="auto"/>
        <w:ind w:left="52" w:firstLine="0"/>
        <w:jc w:val="center"/>
        <w:rPr>
          <w:b/>
          <w:sz w:val="22"/>
        </w:rPr>
      </w:pPr>
    </w:p>
    <w:p w:rsidR="00FB7853" w:rsidRDefault="00FB7853">
      <w:pPr>
        <w:spacing w:after="28" w:line="259" w:lineRule="auto"/>
        <w:ind w:left="52" w:firstLine="0"/>
        <w:jc w:val="center"/>
        <w:rPr>
          <w:b/>
          <w:sz w:val="22"/>
        </w:rPr>
      </w:pPr>
    </w:p>
    <w:p w:rsidR="008574D6" w:rsidRDefault="00041908">
      <w:pPr>
        <w:spacing w:after="28" w:line="259" w:lineRule="auto"/>
        <w:ind w:left="52" w:firstLine="0"/>
        <w:jc w:val="center"/>
      </w:pPr>
      <w:r>
        <w:rPr>
          <w:b/>
          <w:sz w:val="22"/>
        </w:rPr>
        <w:t xml:space="preserve"> </w:t>
      </w:r>
    </w:p>
    <w:p w:rsidR="008574D6" w:rsidRDefault="00041908">
      <w:pPr>
        <w:spacing w:after="0" w:line="259" w:lineRule="auto"/>
        <w:ind w:left="0" w:right="3" w:firstLine="0"/>
        <w:jc w:val="center"/>
      </w:pPr>
      <w:r>
        <w:rPr>
          <w:b/>
          <w:sz w:val="28"/>
        </w:rPr>
        <w:lastRenderedPageBreak/>
        <w:t xml:space="preserve">Représentant du pouvoir adjudicateur : </w:t>
      </w:r>
      <w:r>
        <w:rPr>
          <w:sz w:val="28"/>
        </w:rPr>
        <w:t xml:space="preserve">Monsieur le Maire de la Ville de Pointe-à-Pitre </w:t>
      </w:r>
    </w:p>
    <w:p w:rsidR="008574D6" w:rsidRDefault="00041908">
      <w:pPr>
        <w:spacing w:after="0" w:line="259" w:lineRule="auto"/>
        <w:ind w:left="57" w:firstLine="0"/>
        <w:jc w:val="center"/>
      </w:pPr>
      <w:r>
        <w:t xml:space="preserve"> </w:t>
      </w:r>
    </w:p>
    <w:p w:rsidR="008574D6" w:rsidRDefault="00041908">
      <w:pPr>
        <w:spacing w:after="0" w:line="259" w:lineRule="auto"/>
        <w:ind w:left="57" w:firstLine="0"/>
        <w:jc w:val="center"/>
      </w:pPr>
      <w:r>
        <w:t xml:space="preserve"> </w:t>
      </w:r>
    </w:p>
    <w:p w:rsidR="008574D6" w:rsidRDefault="00041908">
      <w:pPr>
        <w:spacing w:after="0" w:line="259" w:lineRule="auto"/>
        <w:ind w:left="117" w:firstLine="0"/>
        <w:jc w:val="center"/>
      </w:pPr>
      <w:r>
        <w:t xml:space="preserve">  </w:t>
      </w:r>
    </w:p>
    <w:p w:rsidR="008574D6" w:rsidRDefault="00041908">
      <w:pPr>
        <w:ind w:left="-5"/>
      </w:pPr>
      <w:r>
        <w:rPr>
          <w:b/>
        </w:rPr>
        <w:t>Pouvoir adjudicateur</w:t>
      </w:r>
      <w:r>
        <w:t xml:space="preserve"> : Ville de Pointe-à-Pitre, Hôtel de Ville, Place des Martyrs de la Liberté, BP 111, 97123 POINTE-A-PITRE CEDEX, Téléphone : 05.90.93.85.00, Fax : 05.90.48.17.48 </w:t>
      </w:r>
    </w:p>
    <w:p w:rsidR="008574D6" w:rsidRDefault="00041908">
      <w:pPr>
        <w:ind w:left="-5"/>
      </w:pPr>
      <w:r>
        <w:t xml:space="preserve">Statut : Commune </w:t>
      </w:r>
    </w:p>
    <w:p w:rsidR="008574D6" w:rsidRDefault="00041908">
      <w:pPr>
        <w:spacing w:after="15" w:line="259" w:lineRule="auto"/>
      </w:pPr>
      <w:r>
        <w:t xml:space="preserve">Activité(s) principale(s) : </w:t>
      </w:r>
      <w:r>
        <w:rPr>
          <w:sz w:val="20"/>
        </w:rPr>
        <w:t>Services généraux des administrations publiques</w:t>
      </w:r>
      <w:r>
        <w:t xml:space="preserve"> </w:t>
      </w:r>
    </w:p>
    <w:p w:rsidR="008574D6" w:rsidRDefault="00041908">
      <w:pPr>
        <w:ind w:left="-5" w:right="2555"/>
      </w:pPr>
      <w:r>
        <w:t xml:space="preserve">Le pouvoir adjudicateur n'agit pas pour le compte d'autres pouvoirs adjudicateurs. </w:t>
      </w:r>
      <w:r>
        <w:rPr>
          <w:b/>
        </w:rPr>
        <w:t xml:space="preserve">Profil d'acheteur : </w:t>
      </w:r>
      <w:r>
        <w:t xml:space="preserve">http://www.marchés-securises.fr </w:t>
      </w:r>
    </w:p>
    <w:p w:rsidR="008574D6" w:rsidRDefault="00041908">
      <w:pPr>
        <w:spacing w:after="0" w:line="259" w:lineRule="auto"/>
        <w:ind w:left="0" w:firstLine="0"/>
      </w:pPr>
      <w:r>
        <w:t xml:space="preserve"> </w:t>
      </w:r>
    </w:p>
    <w:p w:rsidR="008574D6" w:rsidRDefault="00041908">
      <w:pPr>
        <w:ind w:left="-5"/>
      </w:pPr>
      <w:r>
        <w:t xml:space="preserve">L'avis concerne un marché. </w:t>
      </w:r>
    </w:p>
    <w:p w:rsidR="008574D6" w:rsidRDefault="00041908">
      <w:pPr>
        <w:spacing w:after="0" w:line="259" w:lineRule="auto"/>
        <w:ind w:left="0" w:firstLine="0"/>
      </w:pPr>
      <w:r>
        <w:t xml:space="preserve"> </w:t>
      </w:r>
    </w:p>
    <w:p w:rsidR="008574D6" w:rsidRDefault="00041908">
      <w:pPr>
        <w:ind w:left="-5"/>
      </w:pPr>
      <w:r>
        <w:rPr>
          <w:b/>
        </w:rPr>
        <w:t>Objet du marché</w:t>
      </w:r>
      <w:r w:rsidR="00FD29F7">
        <w:t xml:space="preserve"> : </w:t>
      </w:r>
      <w:r w:rsidR="008015FB" w:rsidRPr="008015FB">
        <w:t>TRAVAUX DE REABILITATION DU HALL DES SPORTS PAUL CHONCHON</w:t>
      </w:r>
    </w:p>
    <w:p w:rsidR="008574D6" w:rsidRDefault="00041908">
      <w:pPr>
        <w:spacing w:after="0" w:line="259" w:lineRule="auto"/>
        <w:ind w:left="0" w:firstLine="0"/>
      </w:pPr>
      <w:r>
        <w:t xml:space="preserve"> </w:t>
      </w:r>
    </w:p>
    <w:p w:rsidR="008574D6" w:rsidRDefault="00041908">
      <w:pPr>
        <w:ind w:left="-5"/>
      </w:pPr>
      <w:r>
        <w:t xml:space="preserve">Marché couvert par l'accord sur les marchés publics (AMP) : non </w:t>
      </w:r>
    </w:p>
    <w:p w:rsidR="008015FB" w:rsidRPr="008015FB" w:rsidRDefault="00041908" w:rsidP="008015FB">
      <w:pPr>
        <w:autoSpaceDE w:val="0"/>
        <w:autoSpaceDN w:val="0"/>
        <w:adjustRightInd w:val="0"/>
        <w:spacing w:after="0" w:line="240" w:lineRule="auto"/>
        <w:jc w:val="both"/>
        <w:rPr>
          <w:rFonts w:eastAsia="Times New Roman" w:cs="Times New Roman"/>
          <w:color w:val="auto"/>
          <w:szCs w:val="24"/>
        </w:rPr>
      </w:pPr>
      <w:r>
        <w:t>Forme du</w:t>
      </w:r>
      <w:r w:rsidR="003178F0">
        <w:t xml:space="preserve"> marché : </w:t>
      </w:r>
      <w:r w:rsidR="008015FB" w:rsidRPr="008015FB">
        <w:rPr>
          <w:rFonts w:eastAsia="Times New Roman" w:cs="Times New Roman"/>
          <w:color w:val="auto"/>
          <w:szCs w:val="24"/>
        </w:rPr>
        <w:t>Marché ordinaire.</w:t>
      </w:r>
    </w:p>
    <w:p w:rsidR="008574D6" w:rsidRDefault="00041908" w:rsidP="008015FB">
      <w:pPr>
        <w:ind w:left="0" w:firstLine="0"/>
      </w:pPr>
      <w:r>
        <w:t xml:space="preserve">Type </w:t>
      </w:r>
      <w:r w:rsidR="002A4F5E">
        <w:t>de marché</w:t>
      </w:r>
      <w:bookmarkStart w:id="0" w:name="_GoBack"/>
      <w:bookmarkEnd w:id="0"/>
      <w:r w:rsidR="008015FB">
        <w:t xml:space="preserve"> : Travaux</w:t>
      </w:r>
      <w:r>
        <w:t xml:space="preserve"> </w:t>
      </w:r>
    </w:p>
    <w:p w:rsidR="00B5293F" w:rsidRDefault="00041908" w:rsidP="00B5293F">
      <w:pPr>
        <w:spacing w:after="0" w:line="259" w:lineRule="auto"/>
        <w:ind w:left="0" w:firstLine="0"/>
      </w:pPr>
      <w:r>
        <w:t xml:space="preserve"> </w:t>
      </w:r>
    </w:p>
    <w:p w:rsidR="008574D6" w:rsidRDefault="00041908">
      <w:pPr>
        <w:ind w:left="-5"/>
      </w:pPr>
      <w:r>
        <w:t xml:space="preserve">L'acheteur n'exige pas de variantes mais les variantes proposées par les opérateurs économiques sont autorisées. Les candidats peuvent présenter des offres pour tous les lots. </w:t>
      </w:r>
    </w:p>
    <w:p w:rsidR="008574D6" w:rsidRDefault="00041908">
      <w:pPr>
        <w:ind w:left="-5"/>
      </w:pPr>
      <w:r>
        <w:t xml:space="preserve">Il n'est pas prévu de retenue de garantie. </w:t>
      </w:r>
    </w:p>
    <w:p w:rsidR="008574D6" w:rsidRDefault="00041908">
      <w:pPr>
        <w:ind w:left="-5"/>
      </w:pPr>
      <w:r>
        <w:t xml:space="preserve">Avance : Pas d'avance. </w:t>
      </w:r>
    </w:p>
    <w:p w:rsidR="008574D6" w:rsidRDefault="00041908">
      <w:pPr>
        <w:spacing w:after="0" w:line="259" w:lineRule="auto"/>
        <w:ind w:left="0" w:firstLine="0"/>
      </w:pPr>
      <w:r>
        <w:t xml:space="preserve"> </w:t>
      </w:r>
    </w:p>
    <w:p w:rsidR="008574D6" w:rsidRDefault="00041908">
      <w:pPr>
        <w:ind w:left="-5"/>
      </w:pPr>
      <w:r>
        <w:rPr>
          <w:b/>
        </w:rPr>
        <w:t>Interdiction de soumissionner</w:t>
      </w:r>
      <w:r>
        <w:t xml:space="preserve"> / 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 </w:t>
      </w:r>
    </w:p>
    <w:p w:rsidR="008574D6" w:rsidRDefault="00041908">
      <w:pPr>
        <w:ind w:left="-5"/>
      </w:pPr>
      <w:r>
        <w:t xml:space="preserve">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 </w:t>
      </w:r>
    </w:p>
    <w:p w:rsidR="008574D6" w:rsidRDefault="00041908">
      <w:pPr>
        <w:ind w:left="-5"/>
      </w:pPr>
      <w:r>
        <w:rPr>
          <w:b/>
        </w:rPr>
        <w:t>Présentation de candidature :</w:t>
      </w:r>
      <w:r>
        <w:t xml:space="preserve"> Dépôt classique : La candidature peut être faite au moyen des formulaires DC1 et DC2 (formulaires à jour sur le site http://www.economie.gouv.fr/daj/formulaires-declaration-du-candidat) ou du DUME (document unique de marché européen, voir site : https://dume.chorus-pro.gouv.fr/). </w:t>
      </w:r>
    </w:p>
    <w:p w:rsidR="008574D6" w:rsidRDefault="00041908">
      <w:pPr>
        <w:ind w:left="-5"/>
      </w:pPr>
      <w:r>
        <w:t xml:space="preserve">Dépôt MPS : La transmission et la vérification des documents de candidatures peut être effectuée par le dispositif Marché public simplifié sur présentation du numéro de SIRET. </w:t>
      </w:r>
    </w:p>
    <w:p w:rsidR="008574D6" w:rsidRDefault="00041908">
      <w:pPr>
        <w:ind w:left="-5"/>
      </w:pPr>
      <w:r>
        <w:t xml:space="preserve">Le mode de transmission des éléments de la candidature et de l'offre est dématérialisé. La réponse électronique est indispensable mais aucune signature n'est exigée (La signature sera dans ce cas demandée à postériori à la seule entreprise retenue). </w:t>
      </w:r>
    </w:p>
    <w:p w:rsidR="008574D6" w:rsidRDefault="00041908">
      <w:pPr>
        <w:spacing w:after="134"/>
        <w:ind w:left="-5"/>
      </w:pPr>
      <w:r>
        <w:rPr>
          <w:b/>
        </w:rPr>
        <w:t>Conditions de participation et moyens de preuve acceptables :</w:t>
      </w:r>
      <w:r>
        <w:t xml:space="preserve"> Les documents et renseignements demandés par l'acheteur aux fins de vérification de l'aptitude à exercer l'activité professionnelle, de la capacité économique et financière et des capacités techniques et professionnelles du candidat sont :  </w:t>
      </w:r>
    </w:p>
    <w:p w:rsidR="008574D6" w:rsidRDefault="00041908">
      <w:pPr>
        <w:numPr>
          <w:ilvl w:val="0"/>
          <w:numId w:val="1"/>
        </w:numPr>
        <w:spacing w:after="15" w:line="259" w:lineRule="auto"/>
        <w:ind w:hanging="360"/>
      </w:pPr>
      <w:r>
        <w:rPr>
          <w:b/>
          <w:sz w:val="20"/>
        </w:rPr>
        <w:t>Capacité économique et financière :</w:t>
      </w:r>
      <w:r>
        <w:rPr>
          <w:sz w:val="20"/>
        </w:rPr>
        <w:t xml:space="preserve"> Indications concernant le chiffre d'affaires annuel général sur 3 ans. </w:t>
      </w:r>
    </w:p>
    <w:p w:rsidR="008574D6" w:rsidRDefault="00041908">
      <w:pPr>
        <w:numPr>
          <w:ilvl w:val="0"/>
          <w:numId w:val="1"/>
        </w:numPr>
        <w:spacing w:after="0" w:line="259" w:lineRule="auto"/>
        <w:ind w:hanging="360"/>
      </w:pPr>
      <w:r>
        <w:rPr>
          <w:b/>
          <w:sz w:val="20"/>
        </w:rPr>
        <w:t>Capacité technique et professionnelle :</w:t>
      </w:r>
      <w:r>
        <w:rPr>
          <w:sz w:val="20"/>
        </w:rPr>
        <w:t xml:space="preserve">  </w:t>
      </w:r>
    </w:p>
    <w:p w:rsidR="008574D6" w:rsidRDefault="00041908">
      <w:pPr>
        <w:numPr>
          <w:ilvl w:val="1"/>
          <w:numId w:val="1"/>
        </w:numPr>
        <w:spacing w:after="15" w:line="259" w:lineRule="auto"/>
        <w:ind w:left="1278" w:hanging="250"/>
      </w:pPr>
      <w:r>
        <w:rPr>
          <w:sz w:val="20"/>
        </w:rPr>
        <w:t xml:space="preserve">Références des principales fournitures ou des principaux services fournis sur 3 ans. </w:t>
      </w:r>
    </w:p>
    <w:p w:rsidR="008574D6" w:rsidRDefault="00041908">
      <w:pPr>
        <w:numPr>
          <w:ilvl w:val="1"/>
          <w:numId w:val="1"/>
        </w:numPr>
        <w:spacing w:after="15" w:line="259" w:lineRule="auto"/>
        <w:ind w:left="1278" w:hanging="250"/>
      </w:pPr>
      <w:r>
        <w:rPr>
          <w:sz w:val="20"/>
        </w:rPr>
        <w:t xml:space="preserve">Titres d'études et professionnels exigés du prestataire de services ou du personnel d'encadrement </w:t>
      </w:r>
    </w:p>
    <w:p w:rsidR="008574D6" w:rsidRDefault="00041908">
      <w:pPr>
        <w:spacing w:after="0" w:line="259" w:lineRule="auto"/>
        <w:ind w:left="0" w:firstLine="0"/>
      </w:pPr>
      <w:r>
        <w:t xml:space="preserve"> </w:t>
      </w:r>
    </w:p>
    <w:p w:rsidR="008574D6" w:rsidRDefault="00041908">
      <w:pPr>
        <w:ind w:left="-5"/>
      </w:pPr>
      <w:r>
        <w:rPr>
          <w:b/>
        </w:rPr>
        <w:t>Procédure :</w:t>
      </w:r>
      <w:r w:rsidR="00314DB1">
        <w:t xml:space="preserve"> MAPA</w:t>
      </w:r>
    </w:p>
    <w:p w:rsidR="008574D6" w:rsidRDefault="00041908">
      <w:pPr>
        <w:spacing w:after="0" w:line="259" w:lineRule="auto"/>
        <w:ind w:left="0" w:firstLine="0"/>
      </w:pPr>
      <w:r>
        <w:lastRenderedPageBreak/>
        <w:t xml:space="preserve"> </w:t>
      </w:r>
    </w:p>
    <w:p w:rsidR="008015FB" w:rsidRPr="008015FB" w:rsidRDefault="00041908" w:rsidP="008015FB">
      <w:pPr>
        <w:autoSpaceDE w:val="0"/>
        <w:autoSpaceDN w:val="0"/>
        <w:adjustRightInd w:val="0"/>
        <w:spacing w:after="0" w:line="240" w:lineRule="auto"/>
        <w:jc w:val="both"/>
        <w:rPr>
          <w:rFonts w:eastAsia="Times New Roman" w:cs="Times New Roman"/>
          <w:color w:val="auto"/>
          <w:szCs w:val="24"/>
        </w:rPr>
      </w:pPr>
      <w:r>
        <w:rPr>
          <w:b/>
        </w:rPr>
        <w:t xml:space="preserve">Critères d'attribution : </w:t>
      </w:r>
      <w:r w:rsidR="008015FB" w:rsidRPr="008015FB">
        <w:rPr>
          <w:rFonts w:eastAsia="Times New Roman" w:cs="Times New Roman"/>
          <w:color w:val="auto"/>
          <w:szCs w:val="24"/>
        </w:rPr>
        <w:t>Le classement des offres et le choix de/des attributaire(s) sont fondés sur l'offre économiquement la plus avantageuse appréciée en fonction des critères pondérés énoncés ci-dessous :</w:t>
      </w:r>
    </w:p>
    <w:p w:rsidR="008015FB" w:rsidRPr="008015FB" w:rsidRDefault="008015FB" w:rsidP="008015FB">
      <w:pPr>
        <w:numPr>
          <w:ilvl w:val="0"/>
          <w:numId w:val="5"/>
        </w:numPr>
        <w:autoSpaceDE w:val="0"/>
        <w:autoSpaceDN w:val="0"/>
        <w:adjustRightInd w:val="0"/>
        <w:spacing w:after="0" w:line="240" w:lineRule="auto"/>
        <w:contextualSpacing/>
        <w:jc w:val="both"/>
        <w:rPr>
          <w:rFonts w:eastAsia="Times New Roman" w:cs="Times New Roman"/>
          <w:color w:val="auto"/>
          <w:szCs w:val="24"/>
        </w:rPr>
      </w:pPr>
      <w:r w:rsidRPr="008015FB">
        <w:rPr>
          <w:rFonts w:eastAsia="Times New Roman" w:cs="Times New Roman"/>
          <w:color w:val="auto"/>
          <w:szCs w:val="24"/>
        </w:rPr>
        <w:t>Prix pondéré à 60 sur 100 points.</w:t>
      </w:r>
    </w:p>
    <w:p w:rsidR="008015FB" w:rsidRPr="008015FB" w:rsidRDefault="008015FB" w:rsidP="008015FB">
      <w:pPr>
        <w:numPr>
          <w:ilvl w:val="0"/>
          <w:numId w:val="5"/>
        </w:numPr>
        <w:autoSpaceDE w:val="0"/>
        <w:autoSpaceDN w:val="0"/>
        <w:adjustRightInd w:val="0"/>
        <w:spacing w:after="0" w:line="240" w:lineRule="auto"/>
        <w:contextualSpacing/>
        <w:jc w:val="both"/>
        <w:rPr>
          <w:rFonts w:eastAsia="Times New Roman" w:cs="Times New Roman"/>
          <w:color w:val="auto"/>
          <w:szCs w:val="24"/>
        </w:rPr>
      </w:pPr>
      <w:r w:rsidRPr="008015FB">
        <w:rPr>
          <w:rFonts w:eastAsia="Times New Roman" w:cs="Times New Roman"/>
          <w:color w:val="auto"/>
          <w:szCs w:val="24"/>
        </w:rPr>
        <w:t>Valeur Technique pondéré à 20 sur 100 points.</w:t>
      </w:r>
      <w:bookmarkStart w:id="1" w:name="PRESENTATION"/>
      <w:bookmarkEnd w:id="1"/>
    </w:p>
    <w:p w:rsidR="008015FB" w:rsidRPr="008015FB" w:rsidRDefault="008015FB" w:rsidP="008015FB">
      <w:pPr>
        <w:numPr>
          <w:ilvl w:val="0"/>
          <w:numId w:val="5"/>
        </w:numPr>
        <w:autoSpaceDE w:val="0"/>
        <w:autoSpaceDN w:val="0"/>
        <w:adjustRightInd w:val="0"/>
        <w:spacing w:after="0" w:line="240" w:lineRule="auto"/>
        <w:contextualSpacing/>
        <w:jc w:val="both"/>
        <w:rPr>
          <w:rFonts w:eastAsia="Times New Roman" w:cs="Times New Roman"/>
          <w:color w:val="auto"/>
          <w:szCs w:val="24"/>
        </w:rPr>
      </w:pPr>
      <w:r w:rsidRPr="008015FB">
        <w:rPr>
          <w:rFonts w:eastAsia="Times New Roman" w:cs="Times New Roman"/>
          <w:color w:val="auto"/>
          <w:szCs w:val="24"/>
        </w:rPr>
        <w:t>Délai d'exécution pondéré à 20 sur 100 points.</w:t>
      </w:r>
    </w:p>
    <w:p w:rsidR="008574D6" w:rsidRDefault="00041908" w:rsidP="008015FB">
      <w:pPr>
        <w:ind w:left="-5"/>
      </w:pPr>
      <w:r>
        <w:t xml:space="preserve"> </w:t>
      </w:r>
    </w:p>
    <w:p w:rsidR="008574D6" w:rsidRDefault="00041908">
      <w:pPr>
        <w:spacing w:after="11"/>
        <w:ind w:left="24"/>
      </w:pPr>
      <w:r>
        <w:rPr>
          <w:b/>
        </w:rPr>
        <w:t>Renseignements d'ordre administratif :</w:t>
      </w:r>
      <w:r>
        <w:t xml:space="preserve">  </w:t>
      </w:r>
    </w:p>
    <w:p w:rsidR="00314DB1" w:rsidRDefault="00041908">
      <w:pPr>
        <w:ind w:left="-5" w:right="5497"/>
      </w:pPr>
      <w:r>
        <w:t xml:space="preserve">Numéro de référence du marché : </w:t>
      </w:r>
      <w:r w:rsidR="00314DB1">
        <w:t>N°2024-PAP-DST07</w:t>
      </w:r>
      <w:r w:rsidR="00D57A0B" w:rsidRPr="00314DB1">
        <w:t xml:space="preserve">. </w:t>
      </w:r>
      <w:r w:rsidRPr="00314DB1">
        <w:t xml:space="preserve"> </w:t>
      </w:r>
    </w:p>
    <w:p w:rsidR="008574D6" w:rsidRDefault="00041908">
      <w:pPr>
        <w:ind w:left="-5" w:right="5497"/>
      </w:pPr>
      <w:r w:rsidRPr="00314DB1">
        <w:t>La</w:t>
      </w:r>
      <w:r>
        <w:t xml:space="preserve"> présente consultation est une consultation initiale. </w:t>
      </w:r>
    </w:p>
    <w:p w:rsidR="008574D6" w:rsidRPr="00314DB1" w:rsidRDefault="00041908">
      <w:pPr>
        <w:spacing w:after="0" w:line="259" w:lineRule="auto"/>
        <w:ind w:left="-5"/>
        <w:rPr>
          <w:color w:val="FF0000"/>
        </w:rPr>
      </w:pPr>
      <w:r>
        <w:rPr>
          <w:i/>
        </w:rPr>
        <w:t>Date d'envoi du présent avis à la publication :</w:t>
      </w:r>
      <w:r w:rsidR="004F653F">
        <w:t xml:space="preserve"> </w:t>
      </w:r>
      <w:r w:rsidR="00314DB1">
        <w:t>12/07/2024</w:t>
      </w:r>
    </w:p>
    <w:p w:rsidR="008574D6" w:rsidRDefault="00041908">
      <w:pPr>
        <w:spacing w:after="0" w:line="259" w:lineRule="auto"/>
        <w:ind w:left="-5"/>
      </w:pPr>
      <w:r>
        <w:rPr>
          <w:i/>
        </w:rPr>
        <w:t>Date limite de réception des offres :</w:t>
      </w:r>
      <w:r w:rsidR="00314DB1">
        <w:t xml:space="preserve"> 31/07</w:t>
      </w:r>
      <w:r w:rsidR="00B33D55">
        <w:t xml:space="preserve">/2024 </w:t>
      </w:r>
      <w:r>
        <w:t xml:space="preserve">à </w:t>
      </w:r>
      <w:proofErr w:type="gramStart"/>
      <w:r>
        <w:t>12:</w:t>
      </w:r>
      <w:proofErr w:type="gramEnd"/>
      <w:r>
        <w:t xml:space="preserve">00 </w:t>
      </w:r>
    </w:p>
    <w:p w:rsidR="008574D6" w:rsidRDefault="00041908">
      <w:pPr>
        <w:ind w:left="-5"/>
      </w:pPr>
      <w:r>
        <w:t xml:space="preserve">Le soumissionnaire est tenu de maintenir son offre pendant un délai de 120 jours à compter de la date limite de réception des offres. </w:t>
      </w:r>
    </w:p>
    <w:p w:rsidR="008574D6" w:rsidRDefault="00041908">
      <w:pPr>
        <w:spacing w:after="0" w:line="259" w:lineRule="auto"/>
        <w:ind w:left="0" w:firstLine="0"/>
      </w:pPr>
      <w:r>
        <w:t xml:space="preserve"> </w:t>
      </w:r>
    </w:p>
    <w:p w:rsidR="008574D6" w:rsidRDefault="00041908">
      <w:pPr>
        <w:ind w:left="-5"/>
      </w:pPr>
      <w:r>
        <w:rPr>
          <w:b/>
        </w:rPr>
        <w:t xml:space="preserve">Délivrance du DCE : </w:t>
      </w:r>
      <w:r>
        <w:t xml:space="preserve">Le dossier de consultation est téléchargeable sur le profil d'acheteur. </w:t>
      </w:r>
    </w:p>
    <w:p w:rsidR="008574D6" w:rsidRDefault="00041908">
      <w:pPr>
        <w:spacing w:after="0" w:line="259" w:lineRule="auto"/>
        <w:ind w:left="0" w:firstLine="0"/>
      </w:pPr>
      <w:r>
        <w:t xml:space="preserve"> </w:t>
      </w:r>
    </w:p>
    <w:p w:rsidR="008574D6" w:rsidRDefault="00041908">
      <w:pPr>
        <w:ind w:left="-5"/>
      </w:pPr>
      <w:r>
        <w:rPr>
          <w:b/>
        </w:rPr>
        <w:t xml:space="preserve">Modalités essentielles de financement et de paiement : </w:t>
      </w:r>
      <w:r>
        <w:t xml:space="preserve">Le délai global de paiement des prestations est fixé à 30 jours. Règlement par Virement Administratif. </w:t>
      </w:r>
    </w:p>
    <w:p w:rsidR="008574D6" w:rsidRDefault="00041908">
      <w:pPr>
        <w:spacing w:after="0" w:line="259" w:lineRule="auto"/>
        <w:ind w:left="0" w:firstLine="0"/>
      </w:pPr>
      <w:r>
        <w:t xml:space="preserve"> </w:t>
      </w:r>
    </w:p>
    <w:p w:rsidR="008574D6" w:rsidRDefault="00041908">
      <w:pPr>
        <w:spacing w:after="11"/>
        <w:ind w:left="24"/>
      </w:pPr>
      <w:r>
        <w:rPr>
          <w:b/>
        </w:rPr>
        <w:t>Forme juridique que devra revêtir le groupement d'opérateurs économiques attributaire du marché :</w:t>
      </w:r>
      <w:r>
        <w:t xml:space="preserve"> Après attribution, aucune forme de groupement ne sera exigée. </w:t>
      </w:r>
    </w:p>
    <w:p w:rsidR="008574D6" w:rsidRDefault="00041908">
      <w:pPr>
        <w:spacing w:after="31"/>
        <w:ind w:left="-5"/>
      </w:pPr>
      <w:r>
        <w:t xml:space="preserve">La même entreprise ne peut présenter plusieurs offres pour le marché en agissant à la fois : </w:t>
      </w:r>
    </w:p>
    <w:p w:rsidR="008574D6" w:rsidRDefault="00041908">
      <w:pPr>
        <w:numPr>
          <w:ilvl w:val="0"/>
          <w:numId w:val="3"/>
        </w:numPr>
        <w:spacing w:after="15" w:line="259" w:lineRule="auto"/>
        <w:ind w:hanging="250"/>
      </w:pPr>
      <w:r>
        <w:rPr>
          <w:sz w:val="20"/>
        </w:rPr>
        <w:t xml:space="preserve">En qualité de candidat individuel et de membre d'un ou plusieurs groupements ; </w:t>
      </w:r>
    </w:p>
    <w:p w:rsidR="008574D6" w:rsidRDefault="00041908">
      <w:pPr>
        <w:numPr>
          <w:ilvl w:val="0"/>
          <w:numId w:val="3"/>
        </w:numPr>
        <w:spacing w:after="15" w:line="259" w:lineRule="auto"/>
        <w:ind w:hanging="250"/>
      </w:pPr>
      <w:r>
        <w:rPr>
          <w:sz w:val="20"/>
        </w:rPr>
        <w:t xml:space="preserve">En qualité de membre de plusieurs groupements. </w:t>
      </w:r>
    </w:p>
    <w:p w:rsidR="008574D6" w:rsidRDefault="00041908">
      <w:pPr>
        <w:spacing w:after="0" w:line="259" w:lineRule="auto"/>
        <w:ind w:left="0" w:firstLine="0"/>
      </w:pPr>
      <w:r>
        <w:t xml:space="preserve"> </w:t>
      </w:r>
    </w:p>
    <w:p w:rsidR="008574D6" w:rsidRDefault="00041908">
      <w:pPr>
        <w:ind w:left="-5"/>
      </w:pPr>
      <w:r>
        <w:rPr>
          <w:b/>
        </w:rPr>
        <w:t>Instance chargée des procédures de recours :</w:t>
      </w:r>
      <w:r>
        <w:t xml:space="preserve"> TRIBUNAL ADMINISTRATIF DE GUADELOUPE, 6 rue Victor HUGUES, 97100 BASSE-TERRE, GUADELOUPE </w:t>
      </w:r>
    </w:p>
    <w:p w:rsidR="008574D6" w:rsidRDefault="00041908">
      <w:pPr>
        <w:spacing w:after="0" w:line="259" w:lineRule="auto"/>
        <w:ind w:left="0" w:firstLine="0"/>
      </w:pPr>
      <w:r>
        <w:t xml:space="preserve"> </w:t>
      </w:r>
    </w:p>
    <w:p w:rsidR="008574D6" w:rsidRDefault="00041908">
      <w:pPr>
        <w:spacing w:after="3" w:line="238" w:lineRule="auto"/>
        <w:ind w:left="-5" w:right="-8"/>
        <w:jc w:val="both"/>
      </w:pPr>
      <w:r>
        <w:rPr>
          <w:b/>
        </w:rPr>
        <w:t xml:space="preserve">Conditions de remise des candidatures : </w:t>
      </w:r>
      <w:r>
        <w:t xml:space="preserve">La transmission des candidatures et des offres se fait obligatoirement par voie électronique. Les candidats doivent remettre une offre conforme au Cahier des Clauses Particulières et au Règlement de consultation. </w:t>
      </w:r>
    </w:p>
    <w:p w:rsidR="008574D6" w:rsidRDefault="00041908">
      <w:pPr>
        <w:spacing w:after="0" w:line="259" w:lineRule="auto"/>
        <w:ind w:left="0" w:firstLine="0"/>
      </w:pPr>
      <w:r>
        <w:t xml:space="preserve"> </w:t>
      </w:r>
    </w:p>
    <w:p w:rsidR="008574D6" w:rsidRDefault="00041908">
      <w:pPr>
        <w:spacing w:after="3" w:line="238" w:lineRule="auto"/>
        <w:ind w:left="-5" w:right="-8"/>
        <w:jc w:val="both"/>
      </w:pPr>
      <w:r>
        <w:rPr>
          <w:b/>
        </w:rPr>
        <w:t xml:space="preserve">Signature des documents transmis par le candidat : </w:t>
      </w:r>
      <w:r>
        <w:t xml:space="preserve">Il n'est pas exigé des candidats que l'acte d'engagement soit signé(e) au stade de la réception des offres. Seul l'attributaire devra impérativement signer électroniquement l'acte d'engagement. </w:t>
      </w:r>
    </w:p>
    <w:p w:rsidR="008574D6" w:rsidRDefault="00041908">
      <w:pPr>
        <w:spacing w:after="3" w:line="238" w:lineRule="auto"/>
        <w:ind w:left="-5" w:right="-8"/>
        <w:jc w:val="both"/>
      </w:pPr>
      <w:r>
        <w:t xml:space="preserve">En cas de groupement l'acte d'engagement sera signé(e)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 </w:t>
      </w:r>
    </w:p>
    <w:p w:rsidR="008574D6" w:rsidRDefault="00041908">
      <w:pPr>
        <w:ind w:left="-5"/>
      </w:pPr>
      <w:r>
        <w:t xml:space="preserve">L'obligation de signature électronique se fait conformément aux conditions fixées par l'arrêté du 22 mars 2019 relatif à la signature électronique des contrats de la commande publique. </w:t>
      </w:r>
    </w:p>
    <w:p w:rsidR="008574D6" w:rsidRDefault="00041908">
      <w:pPr>
        <w:spacing w:after="0" w:line="259" w:lineRule="auto"/>
        <w:ind w:left="0" w:firstLine="0"/>
      </w:pPr>
      <w:r>
        <w:t xml:space="preserve"> </w:t>
      </w:r>
    </w:p>
    <w:p w:rsidR="008574D6" w:rsidRDefault="00041908">
      <w:pPr>
        <w:spacing w:after="11"/>
        <w:ind w:left="24"/>
      </w:pPr>
      <w:r>
        <w:rPr>
          <w:b/>
        </w:rPr>
        <w:t xml:space="preserve">Autres Informations : Les candidats ne sont pas tenus de fournir les documents et renseignements qu'ils ont déjà transmis dans une précédente consultation et qui demeurent valables. </w:t>
      </w:r>
    </w:p>
    <w:p w:rsidR="008574D6" w:rsidRDefault="00041908">
      <w:pPr>
        <w:spacing w:after="0" w:line="259" w:lineRule="auto"/>
        <w:ind w:left="0" w:firstLine="0"/>
      </w:pPr>
      <w:r>
        <w:rPr>
          <w:b/>
        </w:rPr>
        <w:t xml:space="preserve"> </w:t>
      </w:r>
    </w:p>
    <w:p w:rsidR="008574D6" w:rsidRDefault="00041908">
      <w:pPr>
        <w:ind w:left="-5" w:right="1270"/>
      </w:pPr>
      <w:r>
        <w:rPr>
          <w:b/>
        </w:rPr>
        <w:t xml:space="preserve">Adresse auprès de laquelle des renseignements complémentaires peuvent être obtenus : </w:t>
      </w:r>
      <w:r>
        <w:t xml:space="preserve">  Pour les renseignements d'ordre administratif et technique : http://www.marchés-securises.fr </w:t>
      </w:r>
    </w:p>
    <w:p w:rsidR="008574D6" w:rsidRDefault="00041908">
      <w:pPr>
        <w:spacing w:after="0" w:line="259" w:lineRule="auto"/>
        <w:ind w:left="0" w:firstLine="0"/>
      </w:pPr>
      <w:r>
        <w:t xml:space="preserve"> </w:t>
      </w:r>
    </w:p>
    <w:sectPr w:rsidR="008574D6">
      <w:footerReference w:type="even" r:id="rId8"/>
      <w:footerReference w:type="default" r:id="rId9"/>
      <w:footerReference w:type="first" r:id="rId10"/>
      <w:pgSz w:w="11906" w:h="16838"/>
      <w:pgMar w:top="566" w:right="563" w:bottom="1730" w:left="566"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33" w:rsidRDefault="00765E33">
      <w:pPr>
        <w:spacing w:after="0" w:line="240" w:lineRule="auto"/>
      </w:pPr>
      <w:r>
        <w:separator/>
      </w:r>
    </w:p>
  </w:endnote>
  <w:endnote w:type="continuationSeparator" w:id="0">
    <w:p w:rsidR="00765E33" w:rsidRDefault="0076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D6" w:rsidRDefault="00041908">
    <w:pPr>
      <w:spacing w:after="10" w:line="259" w:lineRule="auto"/>
      <w:ind w:left="0" w:firstLine="0"/>
    </w:pPr>
    <w:r>
      <w:rPr>
        <w:b/>
        <w:sz w:val="18"/>
      </w:rPr>
      <w:t xml:space="preserve"> </w:t>
    </w:r>
  </w:p>
  <w:p w:rsidR="008574D6" w:rsidRDefault="00041908">
    <w:pPr>
      <w:tabs>
        <w:tab w:val="center" w:pos="5531"/>
        <w:tab w:val="right" w:pos="10777"/>
      </w:tabs>
      <w:spacing w:after="37" w:line="259" w:lineRule="auto"/>
      <w:ind w:left="0" w:firstLine="0"/>
    </w:pPr>
    <w:r>
      <w:rPr>
        <w:b/>
        <w:sz w:val="18"/>
      </w:rPr>
      <w:t xml:space="preserve">AAPC </w:t>
    </w:r>
    <w:r>
      <w:rPr>
        <w:b/>
        <w:sz w:val="18"/>
      </w:rPr>
      <w:tab/>
      <w:t xml:space="preserve">Achat de véhicules neufs 2022 - Ville de Pointe-à-Pitre </w:t>
    </w:r>
    <w:r>
      <w:rPr>
        <w:b/>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w:t>
    </w:r>
    <w:fldSimple w:instr=" NUMPAGES   \* MERGEFORMAT ">
      <w:r>
        <w:rPr>
          <w:b/>
          <w:sz w:val="18"/>
        </w:rPr>
        <w:t>4</w:t>
      </w:r>
    </w:fldSimple>
    <w:r>
      <w:rPr>
        <w:b/>
        <w:sz w:val="18"/>
      </w:rPr>
      <w:t xml:space="preserve"> </w:t>
    </w:r>
  </w:p>
  <w:p w:rsidR="008574D6" w:rsidRDefault="0004190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D6" w:rsidRDefault="00041908">
    <w:pPr>
      <w:spacing w:after="10" w:line="259" w:lineRule="auto"/>
      <w:ind w:left="0" w:firstLine="0"/>
    </w:pPr>
    <w:r>
      <w:rPr>
        <w:b/>
        <w:sz w:val="18"/>
      </w:rPr>
      <w:t xml:space="preserve"> </w:t>
    </w:r>
  </w:p>
  <w:p w:rsidR="008574D6" w:rsidRDefault="00041908">
    <w:pPr>
      <w:tabs>
        <w:tab w:val="center" w:pos="5531"/>
        <w:tab w:val="right" w:pos="10777"/>
      </w:tabs>
      <w:spacing w:after="37" w:line="259" w:lineRule="auto"/>
      <w:ind w:left="0" w:firstLine="0"/>
    </w:pPr>
    <w:r>
      <w:rPr>
        <w:b/>
        <w:sz w:val="18"/>
      </w:rPr>
      <w:t>AAP</w:t>
    </w:r>
    <w:r w:rsidR="0081602E">
      <w:rPr>
        <w:b/>
        <w:sz w:val="18"/>
      </w:rPr>
      <w:t xml:space="preserve">C </w:t>
    </w:r>
    <w:r w:rsidR="0081602E">
      <w:rPr>
        <w:b/>
        <w:sz w:val="18"/>
      </w:rPr>
      <w:tab/>
    </w:r>
    <w:r w:rsidR="002A4F5E" w:rsidRPr="002A4F5E">
      <w:rPr>
        <w:b/>
        <w:sz w:val="18"/>
      </w:rPr>
      <w:t>TRAVAUX DE REABILITATION DU HALL DES SPORTS PAUL CHONCHON</w:t>
    </w:r>
    <w:r>
      <w:rPr>
        <w:b/>
        <w:sz w:val="18"/>
      </w:rPr>
      <w:t xml:space="preserve">- Ville de Pointe-à-Pitre </w:t>
    </w:r>
    <w:r>
      <w:rPr>
        <w:b/>
        <w:sz w:val="18"/>
      </w:rPr>
      <w:tab/>
      <w:t xml:space="preserve">Page </w:t>
    </w:r>
    <w:r>
      <w:fldChar w:fldCharType="begin"/>
    </w:r>
    <w:r>
      <w:instrText xml:space="preserve"> PAGE   \* MERGEFORMAT </w:instrText>
    </w:r>
    <w:r>
      <w:fldChar w:fldCharType="separate"/>
    </w:r>
    <w:r w:rsidR="002A4F5E" w:rsidRPr="002A4F5E">
      <w:rPr>
        <w:b/>
        <w:noProof/>
        <w:sz w:val="18"/>
      </w:rPr>
      <w:t>3</w:t>
    </w:r>
    <w:r>
      <w:rPr>
        <w:b/>
        <w:sz w:val="18"/>
      </w:rPr>
      <w:fldChar w:fldCharType="end"/>
    </w:r>
    <w:r>
      <w:rPr>
        <w:b/>
        <w:sz w:val="18"/>
      </w:rPr>
      <w:t>/</w:t>
    </w:r>
    <w:fldSimple w:instr=" NUMPAGES   \* MERGEFORMAT ">
      <w:r w:rsidR="002A4F5E" w:rsidRPr="002A4F5E">
        <w:rPr>
          <w:b/>
          <w:noProof/>
          <w:sz w:val="18"/>
        </w:rPr>
        <w:t>3</w:t>
      </w:r>
    </w:fldSimple>
    <w:r>
      <w:rPr>
        <w:b/>
        <w:sz w:val="18"/>
      </w:rPr>
      <w:t xml:space="preserve"> </w:t>
    </w:r>
  </w:p>
  <w:p w:rsidR="008574D6" w:rsidRDefault="0004190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D6" w:rsidRDefault="00041908">
    <w:pPr>
      <w:spacing w:after="10" w:line="259" w:lineRule="auto"/>
      <w:ind w:left="0" w:firstLine="0"/>
    </w:pPr>
    <w:r>
      <w:rPr>
        <w:b/>
        <w:sz w:val="18"/>
      </w:rPr>
      <w:t xml:space="preserve"> </w:t>
    </w:r>
  </w:p>
  <w:p w:rsidR="008574D6" w:rsidRDefault="00041908">
    <w:pPr>
      <w:tabs>
        <w:tab w:val="center" w:pos="5531"/>
        <w:tab w:val="right" w:pos="10777"/>
      </w:tabs>
      <w:spacing w:after="37" w:line="259" w:lineRule="auto"/>
      <w:ind w:left="0" w:firstLine="0"/>
    </w:pPr>
    <w:r>
      <w:rPr>
        <w:b/>
        <w:sz w:val="18"/>
      </w:rPr>
      <w:t xml:space="preserve">AAPC </w:t>
    </w:r>
    <w:r>
      <w:rPr>
        <w:b/>
        <w:sz w:val="18"/>
      </w:rPr>
      <w:tab/>
      <w:t xml:space="preserve">Achat de véhicules neufs 2022 - Ville de Pointe-à-Pitre </w:t>
    </w:r>
    <w:r>
      <w:rPr>
        <w:b/>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w:t>
    </w:r>
    <w:fldSimple w:instr=" NUMPAGES   \* MERGEFORMAT ">
      <w:r>
        <w:rPr>
          <w:b/>
          <w:sz w:val="18"/>
        </w:rPr>
        <w:t>4</w:t>
      </w:r>
    </w:fldSimple>
    <w:r>
      <w:rPr>
        <w:b/>
        <w:sz w:val="18"/>
      </w:rPr>
      <w:t xml:space="preserve"> </w:t>
    </w:r>
  </w:p>
  <w:p w:rsidR="008574D6" w:rsidRDefault="0004190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33" w:rsidRDefault="00765E33">
      <w:pPr>
        <w:spacing w:after="0" w:line="240" w:lineRule="auto"/>
      </w:pPr>
      <w:r>
        <w:separator/>
      </w:r>
    </w:p>
  </w:footnote>
  <w:footnote w:type="continuationSeparator" w:id="0">
    <w:p w:rsidR="00765E33" w:rsidRDefault="00765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5872"/>
    <w:multiLevelType w:val="hybridMultilevel"/>
    <w:tmpl w:val="FF7E0D10"/>
    <w:lvl w:ilvl="0" w:tplc="FF1437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0C0698"/>
    <w:multiLevelType w:val="hybridMultilevel"/>
    <w:tmpl w:val="68A4E2AC"/>
    <w:lvl w:ilvl="0" w:tplc="8636320E">
      <w:start w:val="1"/>
      <w:numFmt w:val="bullet"/>
      <w:lvlText w:val="•"/>
      <w:lvlJc w:val="left"/>
      <w:pPr>
        <w:ind w:left="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84E34E">
      <w:start w:val="1"/>
      <w:numFmt w:val="bullet"/>
      <w:lvlText w:val=""/>
      <w:lvlJc w:val="left"/>
      <w:pPr>
        <w:ind w:left="12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CC2780E">
      <w:start w:val="1"/>
      <w:numFmt w:val="bullet"/>
      <w:lvlText w:val="▪"/>
      <w:lvlJc w:val="left"/>
      <w:pPr>
        <w:ind w:left="2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02D66E">
      <w:start w:val="1"/>
      <w:numFmt w:val="bullet"/>
      <w:lvlText w:val="•"/>
      <w:lvlJc w:val="left"/>
      <w:pPr>
        <w:ind w:left="2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70E2EC">
      <w:start w:val="1"/>
      <w:numFmt w:val="bullet"/>
      <w:lvlText w:val="o"/>
      <w:lvlJc w:val="left"/>
      <w:pPr>
        <w:ind w:left="3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A2EBEA">
      <w:start w:val="1"/>
      <w:numFmt w:val="bullet"/>
      <w:lvlText w:val="▪"/>
      <w:lvlJc w:val="left"/>
      <w:pPr>
        <w:ind w:left="4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A221A4">
      <w:start w:val="1"/>
      <w:numFmt w:val="bullet"/>
      <w:lvlText w:val="•"/>
      <w:lvlJc w:val="left"/>
      <w:pPr>
        <w:ind w:left="4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C69874">
      <w:start w:val="1"/>
      <w:numFmt w:val="bullet"/>
      <w:lvlText w:val="o"/>
      <w:lvlJc w:val="left"/>
      <w:pPr>
        <w:ind w:left="5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BEDEB2">
      <w:start w:val="1"/>
      <w:numFmt w:val="bullet"/>
      <w:lvlText w:val="▪"/>
      <w:lvlJc w:val="left"/>
      <w:pPr>
        <w:ind w:left="6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067593"/>
    <w:multiLevelType w:val="hybridMultilevel"/>
    <w:tmpl w:val="5564507E"/>
    <w:lvl w:ilvl="0" w:tplc="C31C9096">
      <w:numFmt w:val="bullet"/>
      <w:lvlText w:val=""/>
      <w:lvlJc w:val="left"/>
      <w:pPr>
        <w:ind w:left="720" w:hanging="360"/>
      </w:pPr>
      <w:rPr>
        <w:rFonts w:ascii="Wingdings 2" w:eastAsia="Times New Roman" w:hAnsi="Wingdings 2"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696692"/>
    <w:multiLevelType w:val="hybridMultilevel"/>
    <w:tmpl w:val="721E7F90"/>
    <w:lvl w:ilvl="0" w:tplc="195E838A">
      <w:start w:val="1"/>
      <w:numFmt w:val="decimal"/>
      <w:lvlText w:val="%1."/>
      <w:lvlJc w:val="left"/>
      <w:pPr>
        <w:ind w:left="23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AC78F96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8E2F4F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40E820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1567FE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4D281F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C8A572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A6EEFF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48085D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7A6CD4"/>
    <w:multiLevelType w:val="hybridMultilevel"/>
    <w:tmpl w:val="9F30A476"/>
    <w:lvl w:ilvl="0" w:tplc="C6ECDFE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0CF11A">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80816E">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5CDAC4">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4A1E0">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2A3AC2">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581814">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4A750">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F28E7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D6"/>
    <w:rsid w:val="00041908"/>
    <w:rsid w:val="002A4F5E"/>
    <w:rsid w:val="002C40C7"/>
    <w:rsid w:val="00314DB1"/>
    <w:rsid w:val="003178F0"/>
    <w:rsid w:val="004F653F"/>
    <w:rsid w:val="00597E90"/>
    <w:rsid w:val="00765E33"/>
    <w:rsid w:val="008015FB"/>
    <w:rsid w:val="0081602E"/>
    <w:rsid w:val="008574D6"/>
    <w:rsid w:val="00B1219D"/>
    <w:rsid w:val="00B33D55"/>
    <w:rsid w:val="00B5293F"/>
    <w:rsid w:val="00BF580F"/>
    <w:rsid w:val="00C3696B"/>
    <w:rsid w:val="00D57A0B"/>
    <w:rsid w:val="00DB4A50"/>
    <w:rsid w:val="00E90972"/>
    <w:rsid w:val="00FB7853"/>
    <w:rsid w:val="00FD2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B721"/>
  <w15:docId w15:val="{F2F01A39-5DEF-42FC-8AD1-7771F954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10" w:hanging="10"/>
    </w:pPr>
    <w:rPr>
      <w:rFonts w:ascii="Garamond" w:eastAsia="Garamond" w:hAnsi="Garamond" w:cs="Garamond"/>
      <w:color w:val="000000"/>
      <w:sz w:val="24"/>
    </w:rPr>
  </w:style>
  <w:style w:type="paragraph" w:styleId="Titre1">
    <w:name w:val="heading 1"/>
    <w:next w:val="Normal"/>
    <w:link w:val="Titre1Car"/>
    <w:uiPriority w:val="9"/>
    <w:unhideWhenUsed/>
    <w:qFormat/>
    <w:pPr>
      <w:keepNext/>
      <w:keepLines/>
      <w:spacing w:after="0" w:line="249" w:lineRule="auto"/>
      <w:ind w:left="1053" w:right="966" w:hanging="10"/>
      <w:jc w:val="center"/>
      <w:outlineLvl w:val="0"/>
    </w:pPr>
    <w:rPr>
      <w:rFonts w:ascii="Garamond" w:eastAsia="Garamond" w:hAnsi="Garamond" w:cs="Garamond"/>
      <w:b/>
      <w:color w:val="000000"/>
      <w:sz w:val="32"/>
    </w:rPr>
  </w:style>
  <w:style w:type="paragraph" w:styleId="Titre2">
    <w:name w:val="heading 2"/>
    <w:next w:val="Normal"/>
    <w:link w:val="Titre2Car"/>
    <w:uiPriority w:val="9"/>
    <w:unhideWhenUsed/>
    <w:qFormat/>
    <w:pPr>
      <w:keepNext/>
      <w:keepLines/>
      <w:spacing w:after="10" w:line="249" w:lineRule="auto"/>
      <w:ind w:left="10" w:right="6" w:hanging="10"/>
      <w:jc w:val="center"/>
      <w:outlineLvl w:val="1"/>
    </w:pPr>
    <w:rPr>
      <w:rFonts w:ascii="Garamond" w:eastAsia="Garamond" w:hAnsi="Garamond" w:cs="Garamond"/>
      <w:b/>
      <w:color w:val="000000"/>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Garamond" w:eastAsia="Garamond" w:hAnsi="Garamond" w:cs="Garamond"/>
      <w:b/>
      <w:color w:val="000000"/>
      <w:sz w:val="24"/>
    </w:rPr>
  </w:style>
  <w:style w:type="character" w:customStyle="1" w:styleId="Titre1Car">
    <w:name w:val="Titre 1 Car"/>
    <w:link w:val="Titre1"/>
    <w:rPr>
      <w:rFonts w:ascii="Garamond" w:eastAsia="Garamond" w:hAnsi="Garamond" w:cs="Garamond"/>
      <w:b/>
      <w:color w:val="000000"/>
      <w:sz w:val="32"/>
    </w:rPr>
  </w:style>
  <w:style w:type="paragraph" w:styleId="Paragraphedeliste">
    <w:name w:val="List Paragraph"/>
    <w:basedOn w:val="Normal"/>
    <w:uiPriority w:val="34"/>
    <w:qFormat/>
    <w:rsid w:val="0081602E"/>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En-tte">
    <w:name w:val="header"/>
    <w:basedOn w:val="Normal"/>
    <w:link w:val="En-tteCar"/>
    <w:uiPriority w:val="99"/>
    <w:unhideWhenUsed/>
    <w:rsid w:val="0081602E"/>
    <w:pPr>
      <w:tabs>
        <w:tab w:val="center" w:pos="4536"/>
        <w:tab w:val="right" w:pos="9072"/>
      </w:tabs>
      <w:spacing w:after="0" w:line="240" w:lineRule="auto"/>
    </w:pPr>
  </w:style>
  <w:style w:type="character" w:customStyle="1" w:styleId="En-tteCar">
    <w:name w:val="En-tête Car"/>
    <w:basedOn w:val="Policepardfaut"/>
    <w:link w:val="En-tte"/>
    <w:uiPriority w:val="99"/>
    <w:rsid w:val="0081602E"/>
    <w:rPr>
      <w:rFonts w:ascii="Garamond" w:eastAsia="Garamond" w:hAnsi="Garamond" w:cs="Garamond"/>
      <w:color w:val="000000"/>
      <w:sz w:val="24"/>
    </w:rPr>
  </w:style>
  <w:style w:type="paragraph" w:customStyle="1" w:styleId="RedNomDoc">
    <w:name w:val="RedNomDoc"/>
    <w:basedOn w:val="Normal"/>
    <w:rsid w:val="008015FB"/>
    <w:pPr>
      <w:widowControl w:val="0"/>
      <w:autoSpaceDE w:val="0"/>
      <w:autoSpaceDN w:val="0"/>
      <w:adjustRightInd w:val="0"/>
      <w:spacing w:after="0" w:line="240" w:lineRule="auto"/>
      <w:ind w:left="0" w:firstLine="0"/>
      <w:jc w:val="center"/>
    </w:pPr>
    <w:rPr>
      <w:rFonts w:ascii="Arial" w:eastAsia="Times New Roman" w:hAnsi="Arial" w:cs="Arial"/>
      <w:b/>
      <w:bCs/>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Yvelise CESAR-AUGUSTE</dc:creator>
  <cp:keywords/>
  <cp:lastModifiedBy>Marie-Edouard KANCEL</cp:lastModifiedBy>
  <cp:revision>3</cp:revision>
  <dcterms:created xsi:type="dcterms:W3CDTF">2024-07-12T15:17:00Z</dcterms:created>
  <dcterms:modified xsi:type="dcterms:W3CDTF">2024-07-12T16:10:00Z</dcterms:modified>
</cp:coreProperties>
</file>