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BF4" w:rsidRDefault="00C27BF4" w:rsidP="00C27BF4">
      <w:pPr>
        <w:spacing w:before="100" w:beforeAutospacing="1" w:after="100" w:afterAutospacing="1"/>
        <w:jc w:val="center"/>
        <w:rPr>
          <w:rFonts w:ascii="Arial" w:hAnsi="Arial" w:cs="Arial"/>
          <w:b/>
          <w:bCs/>
          <w:caps/>
          <w:u w:val="single"/>
        </w:rPr>
      </w:pPr>
      <w:r>
        <w:rPr>
          <w:rFonts w:ascii="Arial" w:hAnsi="Arial" w:cs="Arial"/>
          <w:b/>
          <w:bCs/>
          <w:caps/>
          <w:u w:val="single"/>
        </w:rPr>
        <w:t>AVIS DE MARCHÉ</w:t>
      </w:r>
    </w:p>
    <w:p w:rsidR="00C27BF4" w:rsidRDefault="00C27BF4" w:rsidP="00C27BF4"/>
    <w:p w:rsidR="00C27BF4" w:rsidRPr="00960761" w:rsidRDefault="00C27BF4" w:rsidP="00C27BF4">
      <w:pPr>
        <w:pBdr>
          <w:left w:val="none" w:sz="0" w:space="19" w:color="auto"/>
        </w:pBdr>
        <w:spacing w:after="120"/>
        <w:rPr>
          <w:rFonts w:ascii="Arial" w:hAnsi="Arial"/>
          <w:b/>
        </w:rPr>
      </w:pPr>
      <w:r w:rsidRPr="00960761">
        <w:rPr>
          <w:rFonts w:ascii="Arial" w:hAnsi="Arial"/>
          <w:b/>
        </w:rPr>
        <w:t>Section 1 - Identification de l'acheteur</w:t>
      </w:r>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Nom complet de l'acheteur : </w:t>
      </w:r>
      <w:r w:rsidRPr="00022F41">
        <w:rPr>
          <w:rFonts w:ascii="Arial" w:hAnsi="Arial"/>
          <w:sz w:val="18"/>
        </w:rPr>
        <w:t>Mairie de Besançon</w:t>
      </w:r>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Type de Numéro national d'indentification : </w:t>
      </w:r>
      <w:r w:rsidRPr="00022F41">
        <w:rPr>
          <w:rFonts w:ascii="Arial" w:hAnsi="Arial"/>
          <w:sz w:val="18"/>
        </w:rPr>
        <w:t>SIRET</w:t>
      </w:r>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N° National d'identification : </w:t>
      </w:r>
      <w:r w:rsidRPr="00022F41">
        <w:rPr>
          <w:rFonts w:ascii="Arial" w:hAnsi="Arial"/>
          <w:sz w:val="18"/>
        </w:rPr>
        <w:t>21250056500016</w:t>
      </w:r>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Ville : </w:t>
      </w:r>
      <w:r w:rsidRPr="00022F41">
        <w:rPr>
          <w:rFonts w:ascii="Arial" w:hAnsi="Arial"/>
          <w:sz w:val="18"/>
        </w:rPr>
        <w:t>BESANCON</w:t>
      </w:r>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Code postal :</w:t>
      </w:r>
      <w:r w:rsidRPr="00022F41">
        <w:rPr>
          <w:rFonts w:ascii="Arial" w:hAnsi="Arial"/>
          <w:sz w:val="18"/>
        </w:rPr>
        <w:t xml:space="preserve"> 25034</w:t>
      </w:r>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Groupement de commandes : </w:t>
      </w:r>
      <w:r w:rsidRPr="00022F41">
        <w:rPr>
          <w:rFonts w:ascii="Arial" w:hAnsi="Arial"/>
          <w:sz w:val="18"/>
        </w:rPr>
        <w:t>Oui</w:t>
      </w:r>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Nom du coordinateur du groupement : </w:t>
      </w:r>
      <w:r w:rsidRPr="00022F41">
        <w:rPr>
          <w:rFonts w:ascii="Arial" w:hAnsi="Arial"/>
          <w:sz w:val="18"/>
        </w:rPr>
        <w:t>Ville de Besançon</w:t>
      </w:r>
    </w:p>
    <w:p w:rsidR="00C27BF4" w:rsidRDefault="00C27BF4" w:rsidP="000F0104">
      <w:pPr>
        <w:pBdr>
          <w:left w:val="none" w:sz="0" w:space="19" w:color="auto"/>
        </w:pBdr>
        <w:spacing w:line="276" w:lineRule="auto"/>
        <w:rPr>
          <w:rFonts w:ascii="Arial" w:hAnsi="Arial"/>
          <w:sz w:val="18"/>
        </w:rPr>
      </w:pPr>
      <w:r w:rsidRPr="00022F41">
        <w:rPr>
          <w:rFonts w:ascii="Arial" w:hAnsi="Arial"/>
          <w:b/>
          <w:sz w:val="18"/>
        </w:rPr>
        <w:t xml:space="preserve">Département(s) de publication : </w:t>
      </w:r>
      <w:r w:rsidRPr="00022F41">
        <w:rPr>
          <w:rFonts w:ascii="Arial" w:hAnsi="Arial"/>
          <w:sz w:val="18"/>
        </w:rPr>
        <w:t>25</w:t>
      </w:r>
      <w:r w:rsidRPr="00022F41">
        <w:rPr>
          <w:rFonts w:ascii="Arial" w:hAnsi="Arial"/>
          <w:sz w:val="18"/>
        </w:rPr>
        <w:cr/>
      </w:r>
    </w:p>
    <w:p w:rsidR="00C27BF4" w:rsidRPr="00960761" w:rsidRDefault="00C27BF4" w:rsidP="00C27BF4">
      <w:pPr>
        <w:pBdr>
          <w:left w:val="none" w:sz="0" w:space="19" w:color="auto"/>
        </w:pBdr>
        <w:spacing w:after="120"/>
        <w:rPr>
          <w:rFonts w:ascii="Arial" w:hAnsi="Arial"/>
          <w:b/>
        </w:rPr>
      </w:pPr>
      <w:r w:rsidRPr="00960761">
        <w:rPr>
          <w:rFonts w:ascii="Arial" w:hAnsi="Arial"/>
          <w:b/>
        </w:rPr>
        <w:t>Section 2 - Communication</w:t>
      </w:r>
    </w:p>
    <w:p w:rsidR="00861BA5" w:rsidRDefault="00C27BF4" w:rsidP="00861BA5">
      <w:pPr>
        <w:pBdr>
          <w:left w:val="none" w:sz="0" w:space="19" w:color="auto"/>
        </w:pBdr>
        <w:spacing w:line="276" w:lineRule="auto"/>
        <w:rPr>
          <w:rFonts w:ascii="Arial" w:hAnsi="Arial"/>
          <w:sz w:val="18"/>
        </w:rPr>
      </w:pPr>
      <w:r w:rsidRPr="00022F41">
        <w:rPr>
          <w:rFonts w:ascii="Arial" w:hAnsi="Arial"/>
          <w:b/>
          <w:sz w:val="18"/>
        </w:rPr>
        <w:t xml:space="preserve">Lien vers le profil d'acheteur : </w:t>
      </w:r>
      <w:hyperlink r:id="rId4" w:history="1">
        <w:r w:rsidR="00861BA5" w:rsidRPr="00EC5F22">
          <w:rPr>
            <w:rStyle w:val="Lienhypertexte"/>
            <w:rFonts w:ascii="Arial" w:hAnsi="Arial"/>
            <w:sz w:val="18"/>
          </w:rPr>
          <w:t>https://www.marches-securises.fr</w:t>
        </w:r>
      </w:hyperlink>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Identifiant interne de la consultation : </w:t>
      </w:r>
      <w:r w:rsidRPr="00861BA5">
        <w:rPr>
          <w:rFonts w:ascii="Arial" w:hAnsi="Arial"/>
          <w:sz w:val="18"/>
        </w:rPr>
        <w:t>2024-FCS-COMM-0145</w:t>
      </w:r>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Intégralité des documents sur le profil d'acheteur :</w:t>
      </w:r>
      <w:r w:rsidRPr="000F0104">
        <w:rPr>
          <w:rFonts w:ascii="Arial" w:hAnsi="Arial"/>
          <w:b/>
          <w:sz w:val="18"/>
        </w:rPr>
        <w:t xml:space="preserve"> </w:t>
      </w:r>
      <w:r w:rsidRPr="00861BA5">
        <w:rPr>
          <w:rFonts w:ascii="Arial" w:hAnsi="Arial"/>
          <w:sz w:val="18"/>
        </w:rPr>
        <w:t>Oui</w:t>
      </w:r>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Utilisation de moyens de communication non communément disponibles : </w:t>
      </w:r>
      <w:r w:rsidRPr="00861BA5">
        <w:rPr>
          <w:rFonts w:ascii="Arial" w:hAnsi="Arial"/>
          <w:sz w:val="18"/>
        </w:rPr>
        <w:t>Non</w:t>
      </w:r>
    </w:p>
    <w:p w:rsidR="00C27BF4" w:rsidRPr="00861BA5" w:rsidRDefault="00C27BF4" w:rsidP="000F0104">
      <w:pPr>
        <w:pBdr>
          <w:left w:val="none" w:sz="0" w:space="19" w:color="auto"/>
        </w:pBdr>
        <w:spacing w:line="276" w:lineRule="auto"/>
        <w:rPr>
          <w:rFonts w:ascii="Arial" w:hAnsi="Arial"/>
          <w:sz w:val="18"/>
        </w:rPr>
      </w:pPr>
      <w:r w:rsidRPr="00022F41">
        <w:rPr>
          <w:rFonts w:ascii="Arial" w:hAnsi="Arial"/>
          <w:b/>
          <w:sz w:val="18"/>
        </w:rPr>
        <w:t xml:space="preserve">Nom du contact : </w:t>
      </w:r>
      <w:r w:rsidRPr="00861BA5">
        <w:rPr>
          <w:rFonts w:ascii="Arial" w:hAnsi="Arial"/>
          <w:sz w:val="18"/>
        </w:rPr>
        <w:t>https://www.marches.grandbesancon.fr</w:t>
      </w:r>
    </w:p>
    <w:p w:rsidR="00C27BF4" w:rsidRDefault="00C27BF4" w:rsidP="00C27BF4">
      <w:pPr>
        <w:pBdr>
          <w:left w:val="none" w:sz="0" w:space="19" w:color="auto"/>
        </w:pBdr>
        <w:rPr>
          <w:rFonts w:ascii="Arial" w:hAnsi="Arial"/>
          <w:sz w:val="18"/>
        </w:rPr>
      </w:pPr>
    </w:p>
    <w:p w:rsidR="00C27BF4" w:rsidRPr="00960761" w:rsidRDefault="00C27BF4" w:rsidP="00C27BF4">
      <w:pPr>
        <w:pBdr>
          <w:left w:val="none" w:sz="0" w:space="19" w:color="auto"/>
        </w:pBdr>
        <w:spacing w:after="120"/>
        <w:rPr>
          <w:rFonts w:ascii="Arial" w:hAnsi="Arial"/>
          <w:b/>
        </w:rPr>
      </w:pPr>
      <w:r w:rsidRPr="00960761">
        <w:rPr>
          <w:rFonts w:ascii="Arial" w:hAnsi="Arial"/>
          <w:b/>
        </w:rPr>
        <w:t>Section 3 - Procédure</w:t>
      </w:r>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Type de procédure : </w:t>
      </w:r>
      <w:r w:rsidRPr="00861BA5">
        <w:rPr>
          <w:rFonts w:ascii="Arial" w:hAnsi="Arial"/>
          <w:sz w:val="18"/>
        </w:rPr>
        <w:t>Procédure adaptée ouverte</w:t>
      </w:r>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Conditions de participation :</w:t>
      </w:r>
    </w:p>
    <w:p w:rsidR="00C27BF4"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Aptitude à exercer l'activité professionnelle </w:t>
      </w:r>
      <w:r w:rsidR="00296AA2">
        <w:rPr>
          <w:rFonts w:ascii="Arial" w:hAnsi="Arial"/>
          <w:b/>
          <w:sz w:val="18"/>
        </w:rPr>
        <w:t>–</w:t>
      </w:r>
      <w:r w:rsidRPr="00022F41">
        <w:rPr>
          <w:rFonts w:ascii="Arial" w:hAnsi="Arial"/>
          <w:b/>
          <w:sz w:val="18"/>
        </w:rPr>
        <w:t xml:space="preserve"> conditions / moyens de preuve : </w:t>
      </w:r>
    </w:p>
    <w:p w:rsidR="00C27BF4" w:rsidRPr="00861BA5" w:rsidRDefault="00C27BF4" w:rsidP="000F0104">
      <w:pPr>
        <w:pBdr>
          <w:left w:val="none" w:sz="0" w:space="19" w:color="auto"/>
        </w:pBdr>
        <w:spacing w:line="276" w:lineRule="auto"/>
        <w:rPr>
          <w:rFonts w:ascii="Arial" w:hAnsi="Arial"/>
          <w:sz w:val="18"/>
        </w:rPr>
      </w:pPr>
      <w:r w:rsidRPr="00861BA5">
        <w:rPr>
          <w:rFonts w:ascii="Arial" w:hAnsi="Arial"/>
          <w:sz w:val="18"/>
        </w:rPr>
        <w:t xml:space="preserve">- Formulaire Dc2, Déclaration du candidat individuel ou du membre du groupement (disponible à l'adresse suivante : http://www.economie.gouv.fr/daj/formulaires-declaration-du-candidat) </w:t>
      </w:r>
    </w:p>
    <w:p w:rsidR="00C27BF4" w:rsidRPr="00861BA5" w:rsidRDefault="00C27BF4" w:rsidP="000F0104">
      <w:pPr>
        <w:pBdr>
          <w:left w:val="none" w:sz="0" w:space="19" w:color="auto"/>
        </w:pBdr>
        <w:spacing w:line="276" w:lineRule="auto"/>
        <w:rPr>
          <w:rFonts w:ascii="Arial" w:hAnsi="Arial"/>
          <w:sz w:val="18"/>
        </w:rPr>
      </w:pPr>
      <w:r w:rsidRPr="00861BA5">
        <w:rPr>
          <w:rFonts w:ascii="Arial" w:hAnsi="Arial"/>
          <w:sz w:val="18"/>
        </w:rPr>
        <w:t xml:space="preserve">- Formulaire Dc1, Lettre de candidature _ Habilitation du mandataire par ses </w:t>
      </w:r>
      <w:proofErr w:type="spellStart"/>
      <w:r w:rsidRPr="00861BA5">
        <w:rPr>
          <w:rFonts w:ascii="Arial" w:hAnsi="Arial"/>
          <w:sz w:val="18"/>
        </w:rPr>
        <w:t>co-traitants</w:t>
      </w:r>
      <w:proofErr w:type="spellEnd"/>
      <w:r w:rsidRPr="00861BA5">
        <w:rPr>
          <w:rFonts w:ascii="Arial" w:hAnsi="Arial"/>
          <w:sz w:val="18"/>
        </w:rPr>
        <w:t xml:space="preserve"> (disponible à l'adresse suivante : http://www.economie.gouv.fr/daj/formulaires-declaration-du-candidat) </w:t>
      </w:r>
    </w:p>
    <w:p w:rsidR="00C27BF4" w:rsidRPr="00861BA5" w:rsidRDefault="00C27BF4" w:rsidP="000F0104">
      <w:pPr>
        <w:pBdr>
          <w:left w:val="none" w:sz="0" w:space="19" w:color="auto"/>
        </w:pBdr>
        <w:spacing w:line="276" w:lineRule="auto"/>
        <w:rPr>
          <w:rFonts w:ascii="Arial" w:hAnsi="Arial"/>
          <w:sz w:val="18"/>
        </w:rPr>
      </w:pPr>
      <w:r w:rsidRPr="00861BA5">
        <w:rPr>
          <w:rFonts w:ascii="Arial" w:hAnsi="Arial"/>
          <w:sz w:val="18"/>
        </w:rPr>
        <w:t>- Déclaration sur l'honneur pour justifier que le candidat n'entre dans aucun des cas d'interdiction de soumissionner</w:t>
      </w:r>
    </w:p>
    <w:p w:rsidR="00C27BF4" w:rsidRPr="00861BA5" w:rsidRDefault="00C27BF4" w:rsidP="000F0104">
      <w:pPr>
        <w:pBdr>
          <w:left w:val="none" w:sz="0" w:space="19" w:color="auto"/>
        </w:pBdr>
        <w:spacing w:line="276" w:lineRule="auto"/>
        <w:rPr>
          <w:rFonts w:ascii="Arial" w:hAnsi="Arial"/>
          <w:sz w:val="18"/>
        </w:rPr>
      </w:pPr>
      <w:r w:rsidRPr="00861BA5">
        <w:rPr>
          <w:rFonts w:ascii="Arial" w:hAnsi="Arial"/>
          <w:sz w:val="18"/>
        </w:rPr>
        <w:t>- Renseignements sur le respect de l'obligation d'emploi mentionnée aux articles L. 5212-1 à L. 5212-11 du Code du travail</w:t>
      </w:r>
    </w:p>
    <w:p w:rsidR="00C27BF4"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Capacité économique et financière - conditions / moyens de preuve : </w:t>
      </w:r>
    </w:p>
    <w:p w:rsidR="00C27BF4" w:rsidRPr="00861BA5" w:rsidRDefault="00C27BF4" w:rsidP="00223A01">
      <w:pPr>
        <w:pBdr>
          <w:left w:val="none" w:sz="0" w:space="19" w:color="auto"/>
        </w:pBdr>
        <w:spacing w:line="276" w:lineRule="auto"/>
        <w:jc w:val="both"/>
        <w:rPr>
          <w:rFonts w:ascii="Arial" w:hAnsi="Arial"/>
          <w:sz w:val="18"/>
        </w:rPr>
      </w:pPr>
      <w:r w:rsidRPr="00861BA5">
        <w:rPr>
          <w:rFonts w:ascii="Arial" w:hAnsi="Arial"/>
          <w:sz w:val="18"/>
        </w:rPr>
        <w:t>- Déclaration concernant le chiffre d'affaires global et le chiffre d'affaires concernant les fournitures, services ou travaux objet du marché, réalisés au cours des trois derniers exercices disponibles</w:t>
      </w:r>
    </w:p>
    <w:p w:rsidR="00C27BF4"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Capacités techniques et professionnelles - conditions / moyens de preuve : </w:t>
      </w:r>
    </w:p>
    <w:p w:rsidR="00C27BF4" w:rsidRPr="00861BA5" w:rsidRDefault="00C27BF4" w:rsidP="00223A01">
      <w:pPr>
        <w:pBdr>
          <w:left w:val="none" w:sz="0" w:space="19" w:color="auto"/>
        </w:pBdr>
        <w:spacing w:line="276" w:lineRule="auto"/>
        <w:jc w:val="both"/>
        <w:rPr>
          <w:rFonts w:ascii="Arial" w:hAnsi="Arial"/>
          <w:sz w:val="18"/>
        </w:rPr>
      </w:pPr>
      <w:r w:rsidRPr="00861BA5">
        <w:rPr>
          <w:rFonts w:ascii="Arial" w:hAnsi="Arial"/>
          <w:sz w:val="18"/>
        </w:rPr>
        <w:t xml:space="preserve">- Déclaration indiquant les effectifs moyens annuels du candidat et l'importance du personnel d'encadrement pour chacune des trois dernières années. </w:t>
      </w:r>
    </w:p>
    <w:p w:rsidR="00C27BF4" w:rsidRPr="00861BA5" w:rsidRDefault="00C27BF4" w:rsidP="00223A01">
      <w:pPr>
        <w:pBdr>
          <w:left w:val="none" w:sz="0" w:space="19" w:color="auto"/>
        </w:pBdr>
        <w:spacing w:line="276" w:lineRule="auto"/>
        <w:jc w:val="both"/>
        <w:rPr>
          <w:rFonts w:ascii="Arial" w:hAnsi="Arial"/>
          <w:sz w:val="18"/>
        </w:rPr>
      </w:pPr>
      <w:r w:rsidRPr="00861BA5">
        <w:rPr>
          <w:rFonts w:ascii="Arial" w:hAnsi="Arial"/>
          <w:sz w:val="18"/>
        </w:rPr>
        <w:t>- Liste des principales prestations effectuées au cours des trois dernières années, indiquant le montant, la date et le destinataire. Elles sont prouvées par des attestations du destinataire ou, à défaut, par une déclaration du candidat</w:t>
      </w:r>
    </w:p>
    <w:p w:rsidR="00C27BF4" w:rsidRPr="00861BA5" w:rsidRDefault="00C27BF4" w:rsidP="00223A01">
      <w:pPr>
        <w:pBdr>
          <w:left w:val="none" w:sz="0" w:space="19" w:color="auto"/>
        </w:pBdr>
        <w:spacing w:line="276" w:lineRule="auto"/>
        <w:jc w:val="both"/>
        <w:rPr>
          <w:rFonts w:ascii="Arial" w:hAnsi="Arial"/>
          <w:sz w:val="18"/>
        </w:rPr>
      </w:pPr>
      <w:r w:rsidRPr="00861BA5">
        <w:rPr>
          <w:rFonts w:ascii="Arial" w:hAnsi="Arial"/>
          <w:sz w:val="18"/>
        </w:rPr>
        <w:t xml:space="preserve">- Indication des titres d'études et professionnels de l'opérateur économique et/ou des cadres de l'entreprise, et notamment des responsables de prestation de services ou de conduite des travaux de même nature que celle du contrat </w:t>
      </w:r>
    </w:p>
    <w:p w:rsidR="00C27BF4" w:rsidRDefault="00C27BF4" w:rsidP="00C27BF4">
      <w:pPr>
        <w:pBdr>
          <w:left w:val="none" w:sz="0" w:space="19" w:color="auto"/>
        </w:pBdr>
        <w:jc w:val="both"/>
      </w:pPr>
    </w:p>
    <w:p w:rsidR="00C27BF4" w:rsidRPr="00861BA5" w:rsidRDefault="00C27BF4" w:rsidP="00223A01">
      <w:pPr>
        <w:pBdr>
          <w:left w:val="none" w:sz="0" w:space="19" w:color="auto"/>
        </w:pBdr>
        <w:spacing w:line="276" w:lineRule="auto"/>
        <w:jc w:val="both"/>
        <w:rPr>
          <w:rFonts w:ascii="Arial" w:hAnsi="Arial"/>
          <w:sz w:val="18"/>
        </w:rPr>
      </w:pPr>
      <w:r w:rsidRPr="00861BA5">
        <w:rPr>
          <w:rFonts w:ascii="Arial" w:hAnsi="Arial"/>
          <w:sz w:val="18"/>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rsidR="00C27BF4" w:rsidRDefault="00C27BF4" w:rsidP="00C27BF4"/>
    <w:p w:rsidR="00C27BF4" w:rsidRPr="00861BA5" w:rsidRDefault="00C27BF4" w:rsidP="000F0104">
      <w:pPr>
        <w:pBdr>
          <w:left w:val="none" w:sz="0" w:space="19" w:color="auto"/>
        </w:pBdr>
        <w:spacing w:line="276" w:lineRule="auto"/>
        <w:rPr>
          <w:rFonts w:ascii="Arial" w:hAnsi="Arial"/>
          <w:sz w:val="18"/>
        </w:rPr>
      </w:pPr>
      <w:r w:rsidRPr="00022F41">
        <w:rPr>
          <w:rFonts w:ascii="Arial" w:hAnsi="Arial"/>
          <w:b/>
          <w:sz w:val="18"/>
        </w:rPr>
        <w:t xml:space="preserve">Technique d'achat : </w:t>
      </w:r>
      <w:r w:rsidRPr="00861BA5">
        <w:rPr>
          <w:rFonts w:ascii="Arial" w:hAnsi="Arial"/>
          <w:sz w:val="18"/>
        </w:rPr>
        <w:t>Accord-cadre</w:t>
      </w:r>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Date et heure limite de réception des plis : </w:t>
      </w:r>
      <w:r w:rsidRPr="00861BA5">
        <w:rPr>
          <w:rFonts w:ascii="Arial" w:hAnsi="Arial"/>
          <w:sz w:val="18"/>
        </w:rPr>
        <w:t>18/09/2024 à 12:00</w:t>
      </w:r>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Présentation des offres par catalogue électronique : </w:t>
      </w:r>
      <w:r w:rsidRPr="000F0104">
        <w:rPr>
          <w:rFonts w:ascii="Arial" w:hAnsi="Arial"/>
          <w:b/>
          <w:sz w:val="18"/>
        </w:rPr>
        <w:t>I</w:t>
      </w:r>
      <w:r w:rsidRPr="00861BA5">
        <w:rPr>
          <w:rFonts w:ascii="Arial" w:hAnsi="Arial"/>
          <w:sz w:val="18"/>
        </w:rPr>
        <w:t>nterdite</w:t>
      </w:r>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Réduction du nombre de candidats : </w:t>
      </w:r>
      <w:r w:rsidRPr="00861BA5">
        <w:rPr>
          <w:rFonts w:ascii="Arial" w:hAnsi="Arial"/>
          <w:sz w:val="18"/>
        </w:rPr>
        <w:t>Non</w:t>
      </w:r>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Possibilité d'attribution sans négociation : </w:t>
      </w:r>
      <w:r w:rsidRPr="00861BA5">
        <w:rPr>
          <w:rFonts w:ascii="Arial" w:hAnsi="Arial"/>
          <w:sz w:val="18"/>
        </w:rPr>
        <w:t>Oui</w:t>
      </w:r>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L'acheteur exige la présentation de variantes : </w:t>
      </w:r>
      <w:r w:rsidRPr="00861BA5">
        <w:rPr>
          <w:rFonts w:ascii="Arial" w:hAnsi="Arial"/>
          <w:sz w:val="18"/>
        </w:rPr>
        <w:t>Non</w:t>
      </w:r>
    </w:p>
    <w:p w:rsidR="00C27BF4" w:rsidRPr="000F0104" w:rsidRDefault="00C27BF4" w:rsidP="000F0104">
      <w:pPr>
        <w:pBdr>
          <w:left w:val="none" w:sz="0" w:space="19" w:color="auto"/>
        </w:pBdr>
        <w:spacing w:line="276" w:lineRule="auto"/>
        <w:rPr>
          <w:rFonts w:ascii="Arial" w:hAnsi="Arial"/>
          <w:b/>
          <w:sz w:val="18"/>
        </w:rPr>
      </w:pPr>
      <w:r w:rsidRPr="00022F41">
        <w:rPr>
          <w:rFonts w:ascii="Arial" w:hAnsi="Arial"/>
          <w:b/>
          <w:sz w:val="18"/>
        </w:rPr>
        <w:t>Identification des catégories d'acheteurs intervenant (si accord-cadre) :</w:t>
      </w:r>
      <w:r w:rsidRPr="00861BA5">
        <w:rPr>
          <w:rFonts w:ascii="Arial" w:hAnsi="Arial"/>
          <w:sz w:val="18"/>
        </w:rPr>
        <w:t xml:space="preserve"> Acheteur(s) habilité(s) à passer les marchés subséquents ou bons de commande</w:t>
      </w:r>
    </w:p>
    <w:p w:rsidR="00C27BF4"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Critères d'attribution : </w:t>
      </w:r>
    </w:p>
    <w:p w:rsidR="00C27BF4" w:rsidRPr="00861BA5" w:rsidRDefault="00C27BF4" w:rsidP="000F0104">
      <w:pPr>
        <w:pBdr>
          <w:left w:val="none" w:sz="0" w:space="19" w:color="auto"/>
        </w:pBdr>
        <w:spacing w:line="276" w:lineRule="auto"/>
        <w:rPr>
          <w:rFonts w:ascii="Arial" w:hAnsi="Arial"/>
          <w:sz w:val="18"/>
        </w:rPr>
      </w:pPr>
      <w:r w:rsidRPr="00861BA5">
        <w:rPr>
          <w:rFonts w:ascii="Arial" w:hAnsi="Arial"/>
          <w:sz w:val="18"/>
        </w:rPr>
        <w:t xml:space="preserve">Valeur technique : 60% </w:t>
      </w:r>
    </w:p>
    <w:p w:rsidR="00C27BF4" w:rsidRPr="00861BA5" w:rsidRDefault="00C27BF4" w:rsidP="000F0104">
      <w:pPr>
        <w:pBdr>
          <w:left w:val="none" w:sz="0" w:space="19" w:color="auto"/>
        </w:pBdr>
        <w:spacing w:line="276" w:lineRule="auto"/>
        <w:rPr>
          <w:rFonts w:ascii="Arial" w:hAnsi="Arial"/>
          <w:sz w:val="18"/>
        </w:rPr>
      </w:pPr>
      <w:r w:rsidRPr="00861BA5">
        <w:rPr>
          <w:rFonts w:ascii="Arial" w:hAnsi="Arial"/>
          <w:sz w:val="18"/>
        </w:rPr>
        <w:t>Prix des prestations : 40%</w:t>
      </w:r>
    </w:p>
    <w:p w:rsidR="00C27BF4" w:rsidRDefault="00C27BF4" w:rsidP="00C27BF4"/>
    <w:p w:rsidR="00C27BF4" w:rsidRDefault="00C27BF4" w:rsidP="00C27BF4"/>
    <w:p w:rsidR="00861BA5" w:rsidRDefault="00861BA5" w:rsidP="00C27BF4"/>
    <w:p w:rsidR="00223A01" w:rsidRDefault="00223A01" w:rsidP="00C27BF4"/>
    <w:p w:rsidR="00861BA5" w:rsidRDefault="00861BA5" w:rsidP="00C27BF4"/>
    <w:p w:rsidR="00861BA5" w:rsidRDefault="00861BA5" w:rsidP="00C27BF4"/>
    <w:p w:rsidR="00C27BF4" w:rsidRPr="00960761" w:rsidRDefault="00C27BF4" w:rsidP="00C27BF4">
      <w:pPr>
        <w:pBdr>
          <w:left w:val="none" w:sz="0" w:space="19" w:color="auto"/>
        </w:pBdr>
        <w:spacing w:after="120"/>
        <w:rPr>
          <w:rFonts w:ascii="Arial" w:hAnsi="Arial"/>
          <w:b/>
        </w:rPr>
      </w:pPr>
      <w:r w:rsidRPr="00960761">
        <w:rPr>
          <w:rFonts w:ascii="Arial" w:hAnsi="Arial"/>
          <w:b/>
        </w:rPr>
        <w:lastRenderedPageBreak/>
        <w:t>Section 4 - Identification du marché</w:t>
      </w:r>
    </w:p>
    <w:p w:rsidR="00C27BF4" w:rsidRPr="000F0104" w:rsidRDefault="00C27BF4" w:rsidP="00861BA5">
      <w:pPr>
        <w:pBdr>
          <w:left w:val="none" w:sz="0" w:space="19" w:color="auto"/>
        </w:pBdr>
        <w:spacing w:line="276" w:lineRule="auto"/>
        <w:jc w:val="both"/>
        <w:rPr>
          <w:rFonts w:ascii="Arial" w:hAnsi="Arial"/>
          <w:b/>
          <w:sz w:val="18"/>
        </w:rPr>
      </w:pPr>
      <w:r w:rsidRPr="00022F41">
        <w:rPr>
          <w:rFonts w:ascii="Arial" w:hAnsi="Arial"/>
          <w:b/>
          <w:sz w:val="18"/>
        </w:rPr>
        <w:t xml:space="preserve">Intitulé du marché : </w:t>
      </w:r>
      <w:r w:rsidRPr="00861BA5">
        <w:rPr>
          <w:rFonts w:ascii="Arial" w:hAnsi="Arial"/>
          <w:sz w:val="18"/>
        </w:rPr>
        <w:t>Relations presse pour la promotion du territoire de la Ville de Besançon et de Grand Besançon Métropole</w:t>
      </w:r>
      <w:r w:rsidRPr="000F0104">
        <w:rPr>
          <w:rFonts w:ascii="Arial" w:hAnsi="Arial"/>
          <w:b/>
          <w:sz w:val="18"/>
        </w:rPr>
        <w:t xml:space="preserve"> </w:t>
      </w:r>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Code CPV principal - Descripteur principal :</w:t>
      </w:r>
      <w:r w:rsidRPr="00861BA5">
        <w:rPr>
          <w:rFonts w:ascii="Arial" w:hAnsi="Arial"/>
          <w:sz w:val="18"/>
        </w:rPr>
        <w:t xml:space="preserve"> 92400000</w:t>
      </w:r>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Type de marché :</w:t>
      </w:r>
      <w:r w:rsidRPr="00861BA5">
        <w:rPr>
          <w:rFonts w:ascii="Arial" w:hAnsi="Arial"/>
          <w:sz w:val="18"/>
        </w:rPr>
        <w:t xml:space="preserve"> Services</w:t>
      </w:r>
    </w:p>
    <w:p w:rsidR="00C27BF4" w:rsidRPr="00861BA5" w:rsidRDefault="00C27BF4" w:rsidP="00223A01">
      <w:pPr>
        <w:pBdr>
          <w:left w:val="none" w:sz="0" w:space="19" w:color="auto"/>
        </w:pBdr>
        <w:spacing w:line="276" w:lineRule="auto"/>
        <w:jc w:val="both"/>
        <w:rPr>
          <w:rFonts w:ascii="Arial" w:hAnsi="Arial"/>
          <w:sz w:val="18"/>
        </w:rPr>
      </w:pPr>
      <w:r w:rsidRPr="00022F41">
        <w:rPr>
          <w:rFonts w:ascii="Arial" w:hAnsi="Arial"/>
          <w:b/>
          <w:sz w:val="18"/>
        </w:rPr>
        <w:t xml:space="preserve">Description succincte du marché : </w:t>
      </w:r>
      <w:r w:rsidRPr="00861BA5">
        <w:rPr>
          <w:rFonts w:ascii="Arial" w:hAnsi="Arial"/>
          <w:sz w:val="18"/>
        </w:rPr>
        <w:t>Consultation lancé</w:t>
      </w:r>
      <w:bookmarkStart w:id="0" w:name="_GoBack"/>
      <w:bookmarkEnd w:id="0"/>
      <w:r w:rsidRPr="00861BA5">
        <w:rPr>
          <w:rFonts w:ascii="Arial" w:hAnsi="Arial"/>
          <w:sz w:val="18"/>
        </w:rPr>
        <w:t>e par un groupement de commandes. L'accord-cadre sera exécuté par l'émission de bons de commande. Le contrat est susceptible d'être reconduit dans les conditions du cahier des charges. Les prestations sont réglées par des prix unitaires et forfaitaires. Les montants estimatifs sont indicatifs, ils comprennent les options (prestations similaires et reconductions) et la totalité des périodes de reconduction. La durée de l'accord-cadre est de un an reconductible deux fois un an. Dans le cadre d'une réflexion globale portant sur une plus grande mutualisation des moyens, la Ville de Besançon et le Grand Besançon lancent conjointement une consultation pour leur marché de relations presse. En effet, les deux collectivités souhaitent promouvoir les atouts touristiques de leur territoire (patrimoine, culturel, évènementiel, naturel) auprès d'une cible nationale voire internationale et renforcer la présence de Besançon et de sa communauté urbaine dans les médias nationaux</w:t>
      </w:r>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Lieu principal d'exécution du marché : </w:t>
      </w:r>
      <w:r w:rsidRPr="00861BA5">
        <w:rPr>
          <w:rFonts w:ascii="Arial" w:hAnsi="Arial"/>
          <w:sz w:val="18"/>
        </w:rPr>
        <w:t>Besançon 25000 - Besançon</w:t>
      </w:r>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Durée du marché (en mois) : </w:t>
      </w:r>
      <w:r w:rsidRPr="00861BA5">
        <w:rPr>
          <w:rFonts w:ascii="Arial" w:hAnsi="Arial"/>
          <w:sz w:val="18"/>
        </w:rPr>
        <w:t>12</w:t>
      </w:r>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Valeur estimée (H.T.) : </w:t>
      </w:r>
      <w:r w:rsidRPr="00861BA5">
        <w:rPr>
          <w:rFonts w:ascii="Arial" w:hAnsi="Arial"/>
          <w:sz w:val="18"/>
        </w:rPr>
        <w:t>entre euros et 219000 euros</w:t>
      </w:r>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La consultation comporte des tranches : </w:t>
      </w:r>
      <w:r w:rsidRPr="00861BA5">
        <w:rPr>
          <w:rFonts w:ascii="Arial" w:hAnsi="Arial"/>
          <w:sz w:val="18"/>
        </w:rPr>
        <w:t>Non</w:t>
      </w:r>
    </w:p>
    <w:p w:rsidR="00C27BF4" w:rsidRPr="00022F41"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La consultation prévoit une réservation de tout ou partie du marché : </w:t>
      </w:r>
      <w:r w:rsidRPr="00861BA5">
        <w:rPr>
          <w:rFonts w:ascii="Arial" w:hAnsi="Arial"/>
          <w:sz w:val="18"/>
        </w:rPr>
        <w:t>Non</w:t>
      </w:r>
    </w:p>
    <w:p w:rsidR="00C27BF4" w:rsidRPr="000F0104" w:rsidRDefault="00C27BF4" w:rsidP="000F0104">
      <w:pPr>
        <w:pBdr>
          <w:left w:val="none" w:sz="0" w:space="19" w:color="auto"/>
        </w:pBdr>
        <w:spacing w:line="276" w:lineRule="auto"/>
        <w:rPr>
          <w:rFonts w:ascii="Arial" w:hAnsi="Arial"/>
          <w:b/>
          <w:sz w:val="18"/>
        </w:rPr>
      </w:pPr>
      <w:r w:rsidRPr="00022F41">
        <w:rPr>
          <w:rFonts w:ascii="Arial" w:hAnsi="Arial"/>
          <w:b/>
          <w:sz w:val="18"/>
        </w:rPr>
        <w:t xml:space="preserve">Marché alloti : </w:t>
      </w:r>
      <w:r w:rsidRPr="00861BA5">
        <w:rPr>
          <w:rFonts w:ascii="Arial" w:hAnsi="Arial"/>
          <w:sz w:val="18"/>
        </w:rPr>
        <w:t>Non</w:t>
      </w:r>
    </w:p>
    <w:p w:rsidR="00C27BF4" w:rsidRDefault="00C27BF4" w:rsidP="00C27BF4"/>
    <w:p w:rsidR="00C27BF4" w:rsidRDefault="00C27BF4" w:rsidP="00C27BF4"/>
    <w:p w:rsidR="00C27BF4" w:rsidRPr="00960761" w:rsidRDefault="00C27BF4" w:rsidP="00C27BF4">
      <w:pPr>
        <w:pBdr>
          <w:left w:val="none" w:sz="0" w:space="19" w:color="auto"/>
        </w:pBdr>
        <w:spacing w:after="120"/>
        <w:rPr>
          <w:rFonts w:ascii="Arial" w:hAnsi="Arial"/>
          <w:b/>
        </w:rPr>
      </w:pPr>
      <w:r w:rsidRPr="00960761">
        <w:rPr>
          <w:rFonts w:ascii="Arial" w:hAnsi="Arial"/>
          <w:b/>
        </w:rPr>
        <w:t>Section 6 - Informations Complémentaires</w:t>
      </w:r>
    </w:p>
    <w:p w:rsidR="00C27BF4" w:rsidRDefault="00C27BF4" w:rsidP="00C27BF4">
      <w:pPr>
        <w:pBdr>
          <w:left w:val="none" w:sz="0" w:space="19" w:color="auto"/>
        </w:pBdr>
        <w:rPr>
          <w:rFonts w:ascii="Arial" w:hAnsi="Arial"/>
          <w:sz w:val="18"/>
        </w:rPr>
      </w:pPr>
      <w:r w:rsidRPr="00022F41">
        <w:rPr>
          <w:rFonts w:ascii="Arial" w:hAnsi="Arial"/>
          <w:b/>
          <w:sz w:val="18"/>
        </w:rPr>
        <w:t xml:space="preserve">Visite obligatoire : </w:t>
      </w:r>
      <w:r w:rsidRPr="00022F41">
        <w:rPr>
          <w:rFonts w:ascii="Arial" w:hAnsi="Arial"/>
          <w:sz w:val="18"/>
        </w:rPr>
        <w:t>Non</w:t>
      </w:r>
    </w:p>
    <w:p w:rsidR="00C27BF4" w:rsidRPr="00022F41" w:rsidRDefault="00C27BF4" w:rsidP="00C27BF4">
      <w:pPr>
        <w:pBdr>
          <w:left w:val="none" w:sz="0" w:space="19" w:color="auto"/>
        </w:pBdr>
        <w:rPr>
          <w:rFonts w:ascii="Arial" w:hAnsi="Arial"/>
          <w:b/>
          <w:sz w:val="18"/>
        </w:rPr>
      </w:pPr>
    </w:p>
    <w:p w:rsidR="00C27BF4" w:rsidRPr="00022F41" w:rsidRDefault="00C27BF4" w:rsidP="00C27BF4">
      <w:pPr>
        <w:pBdr>
          <w:left w:val="none" w:sz="0" w:space="19" w:color="auto"/>
        </w:pBdr>
        <w:rPr>
          <w:rFonts w:ascii="Arial" w:hAnsi="Arial"/>
          <w:b/>
          <w:sz w:val="18"/>
        </w:rPr>
      </w:pPr>
      <w:r w:rsidRPr="00022F41">
        <w:rPr>
          <w:rFonts w:ascii="Arial" w:hAnsi="Arial"/>
          <w:b/>
          <w:sz w:val="18"/>
        </w:rPr>
        <w:t xml:space="preserve">Date d'envoi du présent avis à la publication : </w:t>
      </w:r>
      <w:r w:rsidRPr="00C27BF4">
        <w:rPr>
          <w:rFonts w:ascii="Arial" w:hAnsi="Arial"/>
          <w:sz w:val="18"/>
        </w:rPr>
        <w:t>09/07/2024</w:t>
      </w:r>
    </w:p>
    <w:p w:rsidR="00C27BF4" w:rsidRDefault="00C27BF4" w:rsidP="00C27BF4"/>
    <w:sectPr w:rsidR="00C27BF4" w:rsidSect="00EB78DF">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F4"/>
    <w:rsid w:val="000F0104"/>
    <w:rsid w:val="00223A01"/>
    <w:rsid w:val="00296AA2"/>
    <w:rsid w:val="002B6B8B"/>
    <w:rsid w:val="002B7087"/>
    <w:rsid w:val="002D4D15"/>
    <w:rsid w:val="00303831"/>
    <w:rsid w:val="00861BA5"/>
    <w:rsid w:val="00C27BF4"/>
    <w:rsid w:val="00CA3F53"/>
    <w:rsid w:val="00D009DE"/>
    <w:rsid w:val="00EB78DF"/>
    <w:rsid w:val="00F70D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DD0406-9EE2-4CA6-8F71-802EC705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C27B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3111">
      <w:bodyDiv w:val="1"/>
      <w:marLeft w:val="0"/>
      <w:marRight w:val="0"/>
      <w:marTop w:val="0"/>
      <w:marBottom w:val="0"/>
      <w:divBdr>
        <w:top w:val="none" w:sz="0" w:space="0" w:color="auto"/>
        <w:left w:val="none" w:sz="0" w:space="0" w:color="auto"/>
        <w:bottom w:val="none" w:sz="0" w:space="0" w:color="auto"/>
        <w:right w:val="none" w:sz="0" w:space="0" w:color="auto"/>
      </w:divBdr>
      <w:divsChild>
        <w:div w:id="508713900">
          <w:marLeft w:val="0"/>
          <w:marRight w:val="0"/>
          <w:marTop w:val="0"/>
          <w:marBottom w:val="0"/>
          <w:divBdr>
            <w:top w:val="none" w:sz="0" w:space="0" w:color="auto"/>
            <w:left w:val="none" w:sz="0" w:space="0" w:color="auto"/>
            <w:bottom w:val="none" w:sz="0" w:space="0" w:color="auto"/>
            <w:right w:val="none" w:sz="0" w:space="0" w:color="auto"/>
          </w:divBdr>
        </w:div>
        <w:div w:id="25566954">
          <w:marLeft w:val="0"/>
          <w:marRight w:val="0"/>
          <w:marTop w:val="0"/>
          <w:marBottom w:val="0"/>
          <w:divBdr>
            <w:top w:val="none" w:sz="0" w:space="0" w:color="auto"/>
            <w:left w:val="none" w:sz="0" w:space="0" w:color="auto"/>
            <w:bottom w:val="none" w:sz="0" w:space="0" w:color="auto"/>
            <w:right w:val="none" w:sz="0" w:space="0" w:color="auto"/>
          </w:divBdr>
          <w:divsChild>
            <w:div w:id="1730419198">
              <w:marLeft w:val="0"/>
              <w:marRight w:val="0"/>
              <w:marTop w:val="0"/>
              <w:marBottom w:val="0"/>
              <w:divBdr>
                <w:top w:val="none" w:sz="0" w:space="0" w:color="auto"/>
                <w:left w:val="none" w:sz="0" w:space="0" w:color="auto"/>
                <w:bottom w:val="none" w:sz="0" w:space="0" w:color="auto"/>
                <w:right w:val="none" w:sz="0" w:space="0" w:color="auto"/>
              </w:divBdr>
            </w:div>
            <w:div w:id="852763925">
              <w:marLeft w:val="0"/>
              <w:marRight w:val="0"/>
              <w:marTop w:val="0"/>
              <w:marBottom w:val="0"/>
              <w:divBdr>
                <w:top w:val="none" w:sz="0" w:space="0" w:color="auto"/>
                <w:left w:val="none" w:sz="0" w:space="0" w:color="auto"/>
                <w:bottom w:val="none" w:sz="0" w:space="0" w:color="auto"/>
                <w:right w:val="none" w:sz="0" w:space="0" w:color="auto"/>
              </w:divBdr>
            </w:div>
            <w:div w:id="567224940">
              <w:marLeft w:val="0"/>
              <w:marRight w:val="0"/>
              <w:marTop w:val="0"/>
              <w:marBottom w:val="0"/>
              <w:divBdr>
                <w:top w:val="none" w:sz="0" w:space="0" w:color="auto"/>
                <w:left w:val="none" w:sz="0" w:space="0" w:color="auto"/>
                <w:bottom w:val="none" w:sz="0" w:space="0" w:color="auto"/>
                <w:right w:val="none" w:sz="0" w:space="0" w:color="auto"/>
              </w:divBdr>
            </w:div>
            <w:div w:id="1944414488">
              <w:marLeft w:val="0"/>
              <w:marRight w:val="0"/>
              <w:marTop w:val="0"/>
              <w:marBottom w:val="0"/>
              <w:divBdr>
                <w:top w:val="none" w:sz="0" w:space="0" w:color="auto"/>
                <w:left w:val="none" w:sz="0" w:space="0" w:color="auto"/>
                <w:bottom w:val="none" w:sz="0" w:space="0" w:color="auto"/>
                <w:right w:val="none" w:sz="0" w:space="0" w:color="auto"/>
              </w:divBdr>
            </w:div>
            <w:div w:id="1926721961">
              <w:marLeft w:val="0"/>
              <w:marRight w:val="0"/>
              <w:marTop w:val="0"/>
              <w:marBottom w:val="0"/>
              <w:divBdr>
                <w:top w:val="none" w:sz="0" w:space="0" w:color="auto"/>
                <w:left w:val="none" w:sz="0" w:space="0" w:color="auto"/>
                <w:bottom w:val="none" w:sz="0" w:space="0" w:color="auto"/>
                <w:right w:val="none" w:sz="0" w:space="0" w:color="auto"/>
              </w:divBdr>
            </w:div>
            <w:div w:id="2043937641">
              <w:marLeft w:val="0"/>
              <w:marRight w:val="0"/>
              <w:marTop w:val="0"/>
              <w:marBottom w:val="0"/>
              <w:divBdr>
                <w:top w:val="none" w:sz="0" w:space="0" w:color="auto"/>
                <w:left w:val="none" w:sz="0" w:space="0" w:color="auto"/>
                <w:bottom w:val="none" w:sz="0" w:space="0" w:color="auto"/>
                <w:right w:val="none" w:sz="0" w:space="0" w:color="auto"/>
              </w:divBdr>
            </w:div>
            <w:div w:id="1584991659">
              <w:marLeft w:val="0"/>
              <w:marRight w:val="0"/>
              <w:marTop w:val="0"/>
              <w:marBottom w:val="0"/>
              <w:divBdr>
                <w:top w:val="none" w:sz="0" w:space="0" w:color="auto"/>
                <w:left w:val="none" w:sz="0" w:space="0" w:color="auto"/>
                <w:bottom w:val="none" w:sz="0" w:space="0" w:color="auto"/>
                <w:right w:val="none" w:sz="0" w:space="0" w:color="auto"/>
              </w:divBdr>
            </w:div>
            <w:div w:id="1514418163">
              <w:marLeft w:val="0"/>
              <w:marRight w:val="0"/>
              <w:marTop w:val="0"/>
              <w:marBottom w:val="0"/>
              <w:divBdr>
                <w:top w:val="none" w:sz="0" w:space="0" w:color="auto"/>
                <w:left w:val="none" w:sz="0" w:space="0" w:color="auto"/>
                <w:bottom w:val="none" w:sz="0" w:space="0" w:color="auto"/>
                <w:right w:val="none" w:sz="0" w:space="0" w:color="auto"/>
              </w:divBdr>
            </w:div>
          </w:divsChild>
        </w:div>
        <w:div w:id="402990226">
          <w:marLeft w:val="0"/>
          <w:marRight w:val="0"/>
          <w:marTop w:val="0"/>
          <w:marBottom w:val="0"/>
          <w:divBdr>
            <w:top w:val="none" w:sz="0" w:space="0" w:color="auto"/>
            <w:left w:val="none" w:sz="0" w:space="0" w:color="auto"/>
            <w:bottom w:val="none" w:sz="0" w:space="0" w:color="auto"/>
            <w:right w:val="none" w:sz="0" w:space="0" w:color="auto"/>
          </w:divBdr>
        </w:div>
        <w:div w:id="361516298">
          <w:marLeft w:val="0"/>
          <w:marRight w:val="0"/>
          <w:marTop w:val="0"/>
          <w:marBottom w:val="0"/>
          <w:divBdr>
            <w:top w:val="none" w:sz="0" w:space="0" w:color="auto"/>
            <w:left w:val="none" w:sz="0" w:space="0" w:color="auto"/>
            <w:bottom w:val="none" w:sz="0" w:space="0" w:color="auto"/>
            <w:right w:val="none" w:sz="0" w:space="0" w:color="auto"/>
          </w:divBdr>
          <w:divsChild>
            <w:div w:id="104232231">
              <w:marLeft w:val="0"/>
              <w:marRight w:val="0"/>
              <w:marTop w:val="0"/>
              <w:marBottom w:val="0"/>
              <w:divBdr>
                <w:top w:val="none" w:sz="0" w:space="0" w:color="auto"/>
                <w:left w:val="none" w:sz="0" w:space="0" w:color="auto"/>
                <w:bottom w:val="none" w:sz="0" w:space="0" w:color="auto"/>
                <w:right w:val="none" w:sz="0" w:space="0" w:color="auto"/>
              </w:divBdr>
            </w:div>
            <w:div w:id="2140150792">
              <w:marLeft w:val="0"/>
              <w:marRight w:val="0"/>
              <w:marTop w:val="0"/>
              <w:marBottom w:val="0"/>
              <w:divBdr>
                <w:top w:val="none" w:sz="0" w:space="0" w:color="auto"/>
                <w:left w:val="none" w:sz="0" w:space="0" w:color="auto"/>
                <w:bottom w:val="none" w:sz="0" w:space="0" w:color="auto"/>
                <w:right w:val="none" w:sz="0" w:space="0" w:color="auto"/>
              </w:divBdr>
            </w:div>
            <w:div w:id="1930851846">
              <w:marLeft w:val="0"/>
              <w:marRight w:val="0"/>
              <w:marTop w:val="0"/>
              <w:marBottom w:val="0"/>
              <w:divBdr>
                <w:top w:val="none" w:sz="0" w:space="0" w:color="auto"/>
                <w:left w:val="none" w:sz="0" w:space="0" w:color="auto"/>
                <w:bottom w:val="none" w:sz="0" w:space="0" w:color="auto"/>
                <w:right w:val="none" w:sz="0" w:space="0" w:color="auto"/>
              </w:divBdr>
            </w:div>
            <w:div w:id="1855149841">
              <w:marLeft w:val="0"/>
              <w:marRight w:val="0"/>
              <w:marTop w:val="0"/>
              <w:marBottom w:val="0"/>
              <w:divBdr>
                <w:top w:val="none" w:sz="0" w:space="0" w:color="auto"/>
                <w:left w:val="none" w:sz="0" w:space="0" w:color="auto"/>
                <w:bottom w:val="none" w:sz="0" w:space="0" w:color="auto"/>
                <w:right w:val="none" w:sz="0" w:space="0" w:color="auto"/>
              </w:divBdr>
            </w:div>
            <w:div w:id="1488479263">
              <w:marLeft w:val="0"/>
              <w:marRight w:val="0"/>
              <w:marTop w:val="0"/>
              <w:marBottom w:val="0"/>
              <w:divBdr>
                <w:top w:val="none" w:sz="0" w:space="0" w:color="auto"/>
                <w:left w:val="none" w:sz="0" w:space="0" w:color="auto"/>
                <w:bottom w:val="none" w:sz="0" w:space="0" w:color="auto"/>
                <w:right w:val="none" w:sz="0" w:space="0" w:color="auto"/>
              </w:divBdr>
            </w:div>
          </w:divsChild>
        </w:div>
        <w:div w:id="621575318">
          <w:marLeft w:val="0"/>
          <w:marRight w:val="0"/>
          <w:marTop w:val="0"/>
          <w:marBottom w:val="0"/>
          <w:divBdr>
            <w:top w:val="none" w:sz="0" w:space="0" w:color="auto"/>
            <w:left w:val="none" w:sz="0" w:space="0" w:color="auto"/>
            <w:bottom w:val="none" w:sz="0" w:space="0" w:color="auto"/>
            <w:right w:val="none" w:sz="0" w:space="0" w:color="auto"/>
          </w:divBdr>
        </w:div>
        <w:div w:id="46219997">
          <w:marLeft w:val="0"/>
          <w:marRight w:val="0"/>
          <w:marTop w:val="0"/>
          <w:marBottom w:val="0"/>
          <w:divBdr>
            <w:top w:val="none" w:sz="0" w:space="0" w:color="auto"/>
            <w:left w:val="none" w:sz="0" w:space="0" w:color="auto"/>
            <w:bottom w:val="none" w:sz="0" w:space="0" w:color="auto"/>
            <w:right w:val="none" w:sz="0" w:space="0" w:color="auto"/>
          </w:divBdr>
          <w:divsChild>
            <w:div w:id="1165127353">
              <w:marLeft w:val="0"/>
              <w:marRight w:val="0"/>
              <w:marTop w:val="0"/>
              <w:marBottom w:val="0"/>
              <w:divBdr>
                <w:top w:val="none" w:sz="0" w:space="0" w:color="auto"/>
                <w:left w:val="none" w:sz="0" w:space="0" w:color="auto"/>
                <w:bottom w:val="none" w:sz="0" w:space="0" w:color="auto"/>
                <w:right w:val="none" w:sz="0" w:space="0" w:color="auto"/>
              </w:divBdr>
            </w:div>
            <w:div w:id="1698848922">
              <w:marLeft w:val="0"/>
              <w:marRight w:val="0"/>
              <w:marTop w:val="0"/>
              <w:marBottom w:val="0"/>
              <w:divBdr>
                <w:top w:val="none" w:sz="0" w:space="0" w:color="auto"/>
                <w:left w:val="none" w:sz="0" w:space="0" w:color="auto"/>
                <w:bottom w:val="none" w:sz="0" w:space="0" w:color="auto"/>
                <w:right w:val="none" w:sz="0" w:space="0" w:color="auto"/>
              </w:divBdr>
            </w:div>
            <w:div w:id="1457794096">
              <w:marLeft w:val="0"/>
              <w:marRight w:val="0"/>
              <w:marTop w:val="0"/>
              <w:marBottom w:val="0"/>
              <w:divBdr>
                <w:top w:val="none" w:sz="0" w:space="0" w:color="auto"/>
                <w:left w:val="none" w:sz="0" w:space="0" w:color="auto"/>
                <w:bottom w:val="none" w:sz="0" w:space="0" w:color="auto"/>
                <w:right w:val="none" w:sz="0" w:space="0" w:color="auto"/>
              </w:divBdr>
            </w:div>
            <w:div w:id="1381437486">
              <w:marLeft w:val="0"/>
              <w:marRight w:val="0"/>
              <w:marTop w:val="0"/>
              <w:marBottom w:val="0"/>
              <w:divBdr>
                <w:top w:val="none" w:sz="0" w:space="0" w:color="auto"/>
                <w:left w:val="none" w:sz="0" w:space="0" w:color="auto"/>
                <w:bottom w:val="none" w:sz="0" w:space="0" w:color="auto"/>
                <w:right w:val="none" w:sz="0" w:space="0" w:color="auto"/>
              </w:divBdr>
            </w:div>
            <w:div w:id="1350642083">
              <w:marLeft w:val="0"/>
              <w:marRight w:val="0"/>
              <w:marTop w:val="0"/>
              <w:marBottom w:val="0"/>
              <w:divBdr>
                <w:top w:val="none" w:sz="0" w:space="0" w:color="auto"/>
                <w:left w:val="none" w:sz="0" w:space="0" w:color="auto"/>
                <w:bottom w:val="none" w:sz="0" w:space="0" w:color="auto"/>
                <w:right w:val="none" w:sz="0" w:space="0" w:color="auto"/>
              </w:divBdr>
            </w:div>
            <w:div w:id="1460952031">
              <w:marLeft w:val="0"/>
              <w:marRight w:val="0"/>
              <w:marTop w:val="0"/>
              <w:marBottom w:val="0"/>
              <w:divBdr>
                <w:top w:val="none" w:sz="0" w:space="0" w:color="auto"/>
                <w:left w:val="none" w:sz="0" w:space="0" w:color="auto"/>
                <w:bottom w:val="none" w:sz="0" w:space="0" w:color="auto"/>
                <w:right w:val="none" w:sz="0" w:space="0" w:color="auto"/>
              </w:divBdr>
            </w:div>
            <w:div w:id="293294488">
              <w:marLeft w:val="0"/>
              <w:marRight w:val="0"/>
              <w:marTop w:val="0"/>
              <w:marBottom w:val="0"/>
              <w:divBdr>
                <w:top w:val="none" w:sz="0" w:space="0" w:color="auto"/>
                <w:left w:val="none" w:sz="0" w:space="0" w:color="auto"/>
                <w:bottom w:val="none" w:sz="0" w:space="0" w:color="auto"/>
                <w:right w:val="none" w:sz="0" w:space="0" w:color="auto"/>
              </w:divBdr>
            </w:div>
            <w:div w:id="1501776275">
              <w:marLeft w:val="0"/>
              <w:marRight w:val="0"/>
              <w:marTop w:val="0"/>
              <w:marBottom w:val="0"/>
              <w:divBdr>
                <w:top w:val="none" w:sz="0" w:space="0" w:color="auto"/>
                <w:left w:val="none" w:sz="0" w:space="0" w:color="auto"/>
                <w:bottom w:val="none" w:sz="0" w:space="0" w:color="auto"/>
                <w:right w:val="none" w:sz="0" w:space="0" w:color="auto"/>
              </w:divBdr>
            </w:div>
            <w:div w:id="926772987">
              <w:marLeft w:val="0"/>
              <w:marRight w:val="0"/>
              <w:marTop w:val="0"/>
              <w:marBottom w:val="0"/>
              <w:divBdr>
                <w:top w:val="none" w:sz="0" w:space="0" w:color="auto"/>
                <w:left w:val="none" w:sz="0" w:space="0" w:color="auto"/>
                <w:bottom w:val="none" w:sz="0" w:space="0" w:color="auto"/>
                <w:right w:val="none" w:sz="0" w:space="0" w:color="auto"/>
              </w:divBdr>
            </w:div>
            <w:div w:id="850755406">
              <w:marLeft w:val="0"/>
              <w:marRight w:val="0"/>
              <w:marTop w:val="0"/>
              <w:marBottom w:val="0"/>
              <w:divBdr>
                <w:top w:val="none" w:sz="0" w:space="0" w:color="auto"/>
                <w:left w:val="none" w:sz="0" w:space="0" w:color="auto"/>
                <w:bottom w:val="none" w:sz="0" w:space="0" w:color="auto"/>
                <w:right w:val="none" w:sz="0" w:space="0" w:color="auto"/>
              </w:divBdr>
            </w:div>
          </w:divsChild>
        </w:div>
        <w:div w:id="1068695802">
          <w:marLeft w:val="0"/>
          <w:marRight w:val="0"/>
          <w:marTop w:val="0"/>
          <w:marBottom w:val="0"/>
          <w:divBdr>
            <w:top w:val="none" w:sz="0" w:space="0" w:color="auto"/>
            <w:left w:val="none" w:sz="0" w:space="0" w:color="auto"/>
            <w:bottom w:val="none" w:sz="0" w:space="0" w:color="auto"/>
            <w:right w:val="none" w:sz="0" w:space="0" w:color="auto"/>
          </w:divBdr>
        </w:div>
        <w:div w:id="1689867662">
          <w:marLeft w:val="0"/>
          <w:marRight w:val="0"/>
          <w:marTop w:val="0"/>
          <w:marBottom w:val="0"/>
          <w:divBdr>
            <w:top w:val="none" w:sz="0" w:space="0" w:color="auto"/>
            <w:left w:val="none" w:sz="0" w:space="0" w:color="auto"/>
            <w:bottom w:val="none" w:sz="0" w:space="0" w:color="auto"/>
            <w:right w:val="none" w:sz="0" w:space="0" w:color="auto"/>
          </w:divBdr>
          <w:divsChild>
            <w:div w:id="2059552609">
              <w:marLeft w:val="0"/>
              <w:marRight w:val="0"/>
              <w:marTop w:val="0"/>
              <w:marBottom w:val="0"/>
              <w:divBdr>
                <w:top w:val="none" w:sz="0" w:space="0" w:color="auto"/>
                <w:left w:val="none" w:sz="0" w:space="0" w:color="auto"/>
                <w:bottom w:val="none" w:sz="0" w:space="0" w:color="auto"/>
                <w:right w:val="none" w:sz="0" w:space="0" w:color="auto"/>
              </w:divBdr>
            </w:div>
            <w:div w:id="1606114939">
              <w:marLeft w:val="0"/>
              <w:marRight w:val="0"/>
              <w:marTop w:val="0"/>
              <w:marBottom w:val="0"/>
              <w:divBdr>
                <w:top w:val="none" w:sz="0" w:space="0" w:color="auto"/>
                <w:left w:val="none" w:sz="0" w:space="0" w:color="auto"/>
                <w:bottom w:val="none" w:sz="0" w:space="0" w:color="auto"/>
                <w:right w:val="none" w:sz="0" w:space="0" w:color="auto"/>
              </w:divBdr>
            </w:div>
            <w:div w:id="1200051793">
              <w:marLeft w:val="0"/>
              <w:marRight w:val="0"/>
              <w:marTop w:val="0"/>
              <w:marBottom w:val="0"/>
              <w:divBdr>
                <w:top w:val="none" w:sz="0" w:space="0" w:color="auto"/>
                <w:left w:val="none" w:sz="0" w:space="0" w:color="auto"/>
                <w:bottom w:val="none" w:sz="0" w:space="0" w:color="auto"/>
                <w:right w:val="none" w:sz="0" w:space="0" w:color="auto"/>
              </w:divBdr>
            </w:div>
            <w:div w:id="2043821786">
              <w:marLeft w:val="0"/>
              <w:marRight w:val="0"/>
              <w:marTop w:val="0"/>
              <w:marBottom w:val="0"/>
              <w:divBdr>
                <w:top w:val="none" w:sz="0" w:space="0" w:color="auto"/>
                <w:left w:val="none" w:sz="0" w:space="0" w:color="auto"/>
                <w:bottom w:val="none" w:sz="0" w:space="0" w:color="auto"/>
                <w:right w:val="none" w:sz="0" w:space="0" w:color="auto"/>
              </w:divBdr>
            </w:div>
            <w:div w:id="1496141982">
              <w:marLeft w:val="0"/>
              <w:marRight w:val="0"/>
              <w:marTop w:val="0"/>
              <w:marBottom w:val="0"/>
              <w:divBdr>
                <w:top w:val="none" w:sz="0" w:space="0" w:color="auto"/>
                <w:left w:val="none" w:sz="0" w:space="0" w:color="auto"/>
                <w:bottom w:val="none" w:sz="0" w:space="0" w:color="auto"/>
                <w:right w:val="none" w:sz="0" w:space="0" w:color="auto"/>
              </w:divBdr>
            </w:div>
            <w:div w:id="1502431650">
              <w:marLeft w:val="0"/>
              <w:marRight w:val="0"/>
              <w:marTop w:val="0"/>
              <w:marBottom w:val="0"/>
              <w:divBdr>
                <w:top w:val="none" w:sz="0" w:space="0" w:color="auto"/>
                <w:left w:val="none" w:sz="0" w:space="0" w:color="auto"/>
                <w:bottom w:val="none" w:sz="0" w:space="0" w:color="auto"/>
                <w:right w:val="none" w:sz="0" w:space="0" w:color="auto"/>
              </w:divBdr>
            </w:div>
            <w:div w:id="1788501383">
              <w:marLeft w:val="0"/>
              <w:marRight w:val="0"/>
              <w:marTop w:val="0"/>
              <w:marBottom w:val="0"/>
              <w:divBdr>
                <w:top w:val="none" w:sz="0" w:space="0" w:color="auto"/>
                <w:left w:val="none" w:sz="0" w:space="0" w:color="auto"/>
                <w:bottom w:val="none" w:sz="0" w:space="0" w:color="auto"/>
                <w:right w:val="none" w:sz="0" w:space="0" w:color="auto"/>
              </w:divBdr>
            </w:div>
            <w:div w:id="902452733">
              <w:marLeft w:val="0"/>
              <w:marRight w:val="0"/>
              <w:marTop w:val="0"/>
              <w:marBottom w:val="0"/>
              <w:divBdr>
                <w:top w:val="none" w:sz="0" w:space="0" w:color="auto"/>
                <w:left w:val="none" w:sz="0" w:space="0" w:color="auto"/>
                <w:bottom w:val="none" w:sz="0" w:space="0" w:color="auto"/>
                <w:right w:val="none" w:sz="0" w:space="0" w:color="auto"/>
              </w:divBdr>
            </w:div>
            <w:div w:id="2010207191">
              <w:marLeft w:val="0"/>
              <w:marRight w:val="0"/>
              <w:marTop w:val="0"/>
              <w:marBottom w:val="0"/>
              <w:divBdr>
                <w:top w:val="none" w:sz="0" w:space="0" w:color="auto"/>
                <w:left w:val="none" w:sz="0" w:space="0" w:color="auto"/>
                <w:bottom w:val="none" w:sz="0" w:space="0" w:color="auto"/>
                <w:right w:val="none" w:sz="0" w:space="0" w:color="auto"/>
              </w:divBdr>
            </w:div>
            <w:div w:id="2123263790">
              <w:marLeft w:val="0"/>
              <w:marRight w:val="0"/>
              <w:marTop w:val="0"/>
              <w:marBottom w:val="0"/>
              <w:divBdr>
                <w:top w:val="none" w:sz="0" w:space="0" w:color="auto"/>
                <w:left w:val="none" w:sz="0" w:space="0" w:color="auto"/>
                <w:bottom w:val="none" w:sz="0" w:space="0" w:color="auto"/>
                <w:right w:val="none" w:sz="0" w:space="0" w:color="auto"/>
              </w:divBdr>
            </w:div>
          </w:divsChild>
        </w:div>
        <w:div w:id="1423523485">
          <w:marLeft w:val="0"/>
          <w:marRight w:val="0"/>
          <w:marTop w:val="0"/>
          <w:marBottom w:val="0"/>
          <w:divBdr>
            <w:top w:val="none" w:sz="0" w:space="0" w:color="auto"/>
            <w:left w:val="none" w:sz="0" w:space="0" w:color="auto"/>
            <w:bottom w:val="none" w:sz="0" w:space="0" w:color="auto"/>
            <w:right w:val="none" w:sz="0" w:space="0" w:color="auto"/>
          </w:divBdr>
        </w:div>
        <w:div w:id="1798063165">
          <w:marLeft w:val="0"/>
          <w:marRight w:val="0"/>
          <w:marTop w:val="0"/>
          <w:marBottom w:val="0"/>
          <w:divBdr>
            <w:top w:val="none" w:sz="0" w:space="0" w:color="auto"/>
            <w:left w:val="none" w:sz="0" w:space="0" w:color="auto"/>
            <w:bottom w:val="none" w:sz="0" w:space="0" w:color="auto"/>
            <w:right w:val="none" w:sz="0" w:space="0" w:color="auto"/>
          </w:divBdr>
          <w:divsChild>
            <w:div w:id="543719352">
              <w:marLeft w:val="0"/>
              <w:marRight w:val="0"/>
              <w:marTop w:val="0"/>
              <w:marBottom w:val="0"/>
              <w:divBdr>
                <w:top w:val="none" w:sz="0" w:space="0" w:color="auto"/>
                <w:left w:val="none" w:sz="0" w:space="0" w:color="auto"/>
                <w:bottom w:val="none" w:sz="0" w:space="0" w:color="auto"/>
                <w:right w:val="none" w:sz="0" w:space="0" w:color="auto"/>
              </w:divBdr>
            </w:div>
          </w:divsChild>
        </w:div>
        <w:div w:id="2067560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rches-securis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ED19AA51.dotm</Template>
  <TotalTime>107</TotalTime>
  <Pages>2</Pages>
  <Words>734</Words>
  <Characters>4475</Characters>
  <Application>Microsoft Office Word</Application>
  <DocSecurity>0</DocSecurity>
  <Lines>37</Lines>
  <Paragraphs>10</Paragraphs>
  <ScaleCrop>false</ScaleCrop>
  <Company>Communauté d'Agglomération du Grand Besançon</Company>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GRISET-MESNIER Mylène</dc:creator>
  <cp:keywords/>
  <dc:description/>
  <cp:lastModifiedBy>GRISET-MESNIER Mylène</cp:lastModifiedBy>
  <cp:revision>7</cp:revision>
  <dcterms:created xsi:type="dcterms:W3CDTF">2024-07-09T09:41:00Z</dcterms:created>
  <dcterms:modified xsi:type="dcterms:W3CDTF">2024-07-09T11:37:00Z</dcterms:modified>
</cp:coreProperties>
</file>